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BBA4C" w14:textId="3F6EB93C" w:rsidR="00EB459A" w:rsidRDefault="006F6525" w:rsidP="009A241D">
      <w:pPr>
        <w:pStyle w:val="BodyText"/>
        <w:jc w:val="center"/>
        <w:rPr>
          <w:sz w:val="20"/>
        </w:rPr>
      </w:pPr>
      <w:r>
        <w:rPr>
          <w:rFonts w:ascii="Gadugi" w:eastAsia="Gadugi" w:hAnsi="Gadugi" w:cs="Gadugi"/>
          <w:noProof/>
          <w:sz w:val="20"/>
          <w:lang w:val="fr-CA" w:bidi="fr-CA"/>
        </w:rPr>
        <w:drawing>
          <wp:inline distT="0" distB="0" distL="0" distR="0" wp14:anchorId="15C502C0" wp14:editId="0FE57806">
            <wp:extent cx="4724400" cy="1143000"/>
            <wp:effectExtent l="0" t="0" r="0" b="0"/>
            <wp:docPr id="521247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47543" name="Picture 52124754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3506A3FE" w14:textId="77777777" w:rsidR="00EB459A" w:rsidRDefault="00EB459A">
      <w:pPr>
        <w:pStyle w:val="BodyText"/>
        <w:rPr>
          <w:sz w:val="20"/>
        </w:rPr>
      </w:pPr>
    </w:p>
    <w:p w14:paraId="5ACE0B75" w14:textId="77777777" w:rsidR="00EB459A" w:rsidRDefault="00EB459A">
      <w:pPr>
        <w:pStyle w:val="BodyText"/>
        <w:spacing w:before="5"/>
        <w:rPr>
          <w:sz w:val="28"/>
        </w:rPr>
      </w:pPr>
    </w:p>
    <w:p w14:paraId="2D9A6C95" w14:textId="60282C1B" w:rsidR="00EB459A" w:rsidRDefault="006F6525" w:rsidP="00200CFE">
      <w:pPr>
        <w:spacing w:before="94"/>
        <w:ind w:right="360"/>
        <w:jc w:val="right"/>
        <w:rPr>
          <w:rFonts w:ascii="Arial"/>
        </w:rPr>
      </w:pPr>
      <w:bookmarkStart w:id="0" w:name="Transmittal_letter_to_Minister_Responsib"/>
      <w:bookmarkEnd w:id="0"/>
      <w:r w:rsidRPr="006F6525">
        <w:rPr>
          <w:rFonts w:ascii="Gadugi" w:eastAsia="Gadugi" w:hAnsi="Gadugi" w:cs="Gadugi"/>
          <w:lang w:val="fr-CA" w:bidi="fr-CA"/>
        </w:rPr>
        <w:t>Le 7 juin 2023</w:t>
      </w:r>
    </w:p>
    <w:p w14:paraId="18446B3F" w14:textId="77777777" w:rsidR="00EB459A" w:rsidRDefault="00EB459A">
      <w:pPr>
        <w:pStyle w:val="BodyText"/>
        <w:rPr>
          <w:rFonts w:ascii="Arial"/>
          <w:sz w:val="20"/>
        </w:rPr>
      </w:pPr>
    </w:p>
    <w:p w14:paraId="71C660E3" w14:textId="77777777" w:rsidR="00EB459A" w:rsidRDefault="00EB459A">
      <w:pPr>
        <w:pStyle w:val="BodyText"/>
        <w:rPr>
          <w:rFonts w:ascii="Arial"/>
          <w:sz w:val="20"/>
        </w:rPr>
      </w:pPr>
    </w:p>
    <w:p w14:paraId="627FE770" w14:textId="5FE10337" w:rsidR="00EB459A" w:rsidRDefault="00632157" w:rsidP="00F56135">
      <w:pPr>
        <w:pStyle w:val="BodyText"/>
        <w:spacing w:before="92"/>
        <w:rPr>
          <w:rFonts w:ascii="Arial"/>
        </w:rPr>
      </w:pPr>
      <w:r>
        <w:rPr>
          <w:rFonts w:ascii="Gadugi" w:eastAsia="Gadugi" w:hAnsi="Gadugi" w:cs="Gadugi"/>
          <w:lang w:val="fr-CA" w:bidi="fr-CA"/>
        </w:rPr>
        <w:t>L’honorable P.J. Akeeagok</w:t>
      </w:r>
    </w:p>
    <w:p w14:paraId="4003020A" w14:textId="20F077A6" w:rsidR="003F79FA" w:rsidRDefault="00632157" w:rsidP="00D85A30">
      <w:pPr>
        <w:pStyle w:val="BodyText"/>
        <w:ind w:right="3420"/>
        <w:rPr>
          <w:rFonts w:ascii="Arial"/>
        </w:rPr>
      </w:pPr>
      <w:r>
        <w:rPr>
          <w:rFonts w:ascii="Gadugi" w:eastAsia="Gadugi" w:hAnsi="Gadugi" w:cs="Gadugi"/>
          <w:lang w:val="fr-CA" w:bidi="fr-CA"/>
        </w:rPr>
        <w:t>Ministre responsable de la Société d’énergie Qulliq</w:t>
      </w:r>
    </w:p>
    <w:p w14:paraId="5FDEA102" w14:textId="5A112B23" w:rsidR="00EB459A" w:rsidRDefault="00632157" w:rsidP="00F56135">
      <w:pPr>
        <w:pStyle w:val="BodyText"/>
        <w:ind w:right="3677"/>
        <w:rPr>
          <w:rFonts w:ascii="Arial"/>
        </w:rPr>
      </w:pPr>
      <w:r>
        <w:rPr>
          <w:rFonts w:ascii="Gadugi" w:eastAsia="Gadugi" w:hAnsi="Gadugi" w:cs="Gadugi"/>
          <w:lang w:val="fr-CA" w:bidi="fr-CA"/>
        </w:rPr>
        <w:t>Assemblée législative du Nunavut</w:t>
      </w:r>
    </w:p>
    <w:p w14:paraId="2F94E04D" w14:textId="5FB0C7BD" w:rsidR="00F56135" w:rsidRDefault="00632157" w:rsidP="003F79FA">
      <w:pPr>
        <w:pStyle w:val="BodyText"/>
        <w:rPr>
          <w:rFonts w:ascii="Arial"/>
          <w:lang w:val="fr-CA"/>
        </w:rPr>
      </w:pPr>
      <w:r w:rsidRPr="00C622A2">
        <w:rPr>
          <w:rFonts w:ascii="Gadugi" w:eastAsia="Gadugi" w:hAnsi="Gadugi" w:cs="Gadugi"/>
          <w:lang w:val="fr-CA" w:bidi="fr-CA"/>
        </w:rPr>
        <w:t>C.P. 2410</w:t>
      </w:r>
    </w:p>
    <w:p w14:paraId="7AD3A416" w14:textId="5CC0A6AC" w:rsidR="00EB459A" w:rsidRPr="00C622A2" w:rsidRDefault="00632157" w:rsidP="00BA7C99">
      <w:pPr>
        <w:pStyle w:val="BodyText"/>
        <w:rPr>
          <w:rFonts w:ascii="Arial"/>
          <w:lang w:val="fr-CA"/>
        </w:rPr>
      </w:pPr>
      <w:r w:rsidRPr="00C622A2">
        <w:rPr>
          <w:rFonts w:ascii="Gadugi" w:eastAsia="Gadugi" w:hAnsi="Gadugi" w:cs="Gadugi"/>
          <w:lang w:val="fr-CA" w:bidi="fr-CA"/>
        </w:rPr>
        <w:t>Iqaluit (Nunavut)  X0A 0H0</w:t>
      </w:r>
    </w:p>
    <w:p w14:paraId="244AE272" w14:textId="77777777" w:rsidR="00EB459A" w:rsidRPr="00C622A2" w:rsidRDefault="00EB459A" w:rsidP="00F56135">
      <w:pPr>
        <w:pStyle w:val="BodyText"/>
        <w:rPr>
          <w:rFonts w:ascii="Arial"/>
          <w:sz w:val="26"/>
          <w:lang w:val="fr-CA"/>
        </w:rPr>
      </w:pPr>
    </w:p>
    <w:p w14:paraId="47B4C6B9" w14:textId="0FDE5BE4" w:rsidR="00EB459A" w:rsidRDefault="00632157" w:rsidP="00F56135">
      <w:pPr>
        <w:pStyle w:val="BodyText"/>
        <w:spacing w:before="1"/>
        <w:rPr>
          <w:rFonts w:ascii="Arial"/>
        </w:rPr>
      </w:pPr>
      <w:r>
        <w:rPr>
          <w:rFonts w:ascii="Gadugi" w:eastAsia="Gadugi" w:hAnsi="Gadugi" w:cs="Gadugi"/>
          <w:lang w:val="fr-CA" w:bidi="fr-CA"/>
        </w:rPr>
        <w:t>Monsieur le ministre Akeeagok,</w:t>
      </w:r>
    </w:p>
    <w:p w14:paraId="7D387C8C" w14:textId="77777777" w:rsidR="00EB459A" w:rsidRDefault="00EB459A" w:rsidP="00F56135">
      <w:pPr>
        <w:pStyle w:val="BodyText"/>
        <w:spacing w:before="11"/>
        <w:rPr>
          <w:rFonts w:ascii="Arial"/>
          <w:sz w:val="23"/>
        </w:rPr>
      </w:pPr>
    </w:p>
    <w:p w14:paraId="2DBEB702" w14:textId="67134E5C" w:rsidR="00EB459A" w:rsidRPr="00CA103B" w:rsidRDefault="00CA103B" w:rsidP="003F79FA">
      <w:pPr>
        <w:pStyle w:val="BodyText"/>
        <w:ind w:right="80"/>
        <w:rPr>
          <w:rFonts w:ascii="Arial" w:hAnsi="Arial"/>
          <w:iCs/>
        </w:rPr>
      </w:pPr>
      <w:r w:rsidRPr="00CA103B">
        <w:rPr>
          <w:rFonts w:ascii="Gadugi" w:eastAsia="Gadugi" w:hAnsi="Gadugi" w:cs="Gadugi"/>
          <w:lang w:val="fr-CA" w:bidi="fr-CA"/>
        </w:rPr>
        <w:t>Concernant la demande relative au supplément sur le taux de stabilisation du prix du combustible de la Société d’énergie Qulliq (SÉQ) datée du 27 mars 2023 et conformément à votre requête de réviser la demande datée du 3 avril 2023, vous trouverez ci‑joint le rapport 2023-02 du Conseil d’examen des taux des entreprises de service au Nunavut qui résume l’examen de la question effectuée par le Comité.</w:t>
      </w:r>
    </w:p>
    <w:p w14:paraId="087F9907" w14:textId="77777777" w:rsidR="00EB459A" w:rsidRDefault="00EB459A" w:rsidP="00F56135">
      <w:pPr>
        <w:pStyle w:val="BodyText"/>
        <w:rPr>
          <w:rFonts w:ascii="Arial"/>
          <w:sz w:val="26"/>
        </w:rPr>
      </w:pPr>
    </w:p>
    <w:p w14:paraId="01264D31" w14:textId="77777777" w:rsidR="00EB459A" w:rsidRDefault="00632157" w:rsidP="00F56135">
      <w:pPr>
        <w:pStyle w:val="BodyText"/>
        <w:rPr>
          <w:rFonts w:ascii="Arial"/>
        </w:rPr>
      </w:pPr>
      <w:r>
        <w:rPr>
          <w:rFonts w:ascii="Gadugi" w:eastAsia="Gadugi" w:hAnsi="Gadugi" w:cs="Gadugi"/>
          <w:lang w:val="fr-CA" w:bidi="fr-CA"/>
        </w:rPr>
        <w:t>Veuillez agréer, Monsieur, mes sentiments les plus sincères.</w:t>
      </w:r>
    </w:p>
    <w:p w14:paraId="49A9DC62" w14:textId="147873DF" w:rsidR="004D7900" w:rsidRDefault="004D7900" w:rsidP="00F56135">
      <w:pPr>
        <w:pStyle w:val="BodyText"/>
        <w:spacing w:before="8"/>
        <w:rPr>
          <w:rFonts w:ascii="Arial"/>
          <w:sz w:val="20"/>
        </w:rPr>
      </w:pPr>
    </w:p>
    <w:p w14:paraId="6C01E470" w14:textId="77777777" w:rsidR="004D7900" w:rsidRDefault="004D7900" w:rsidP="00F56135">
      <w:pPr>
        <w:pStyle w:val="BodyText"/>
        <w:spacing w:before="8"/>
        <w:rPr>
          <w:rFonts w:ascii="Arial"/>
          <w:sz w:val="20"/>
        </w:rPr>
      </w:pPr>
    </w:p>
    <w:p w14:paraId="69236481" w14:textId="6490D545" w:rsidR="00F56135" w:rsidRDefault="006F6525" w:rsidP="00F56135">
      <w:pPr>
        <w:pStyle w:val="BodyText"/>
        <w:spacing w:before="8"/>
        <w:rPr>
          <w:rFonts w:ascii="Arial"/>
          <w:sz w:val="20"/>
        </w:rPr>
      </w:pPr>
      <w:r>
        <w:rPr>
          <w:rFonts w:ascii="Gadugi" w:eastAsia="Gadugi" w:hAnsi="Gadugi" w:cs="Gadugi"/>
          <w:noProof/>
          <w:sz w:val="20"/>
          <w:lang w:val="fr-CA" w:bidi="fr-CA"/>
        </w:rPr>
        <w:drawing>
          <wp:inline distT="0" distB="0" distL="0" distR="0" wp14:anchorId="2352AE61" wp14:editId="1BFE927C">
            <wp:extent cx="3263900" cy="825500"/>
            <wp:effectExtent l="0" t="0" r="0" b="0"/>
            <wp:docPr id="779955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55351" name="Picture 7799553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55948D80" w14:textId="3F0553D9" w:rsidR="004D7900" w:rsidRDefault="004D7900" w:rsidP="00F56135">
      <w:pPr>
        <w:pStyle w:val="BodyText"/>
        <w:spacing w:before="8"/>
        <w:rPr>
          <w:rFonts w:ascii="Arial"/>
          <w:sz w:val="20"/>
        </w:rPr>
      </w:pPr>
    </w:p>
    <w:p w14:paraId="4A6E7855" w14:textId="77777777" w:rsidR="004D7900" w:rsidRDefault="004D7900" w:rsidP="00F56135">
      <w:pPr>
        <w:pStyle w:val="BodyText"/>
        <w:spacing w:before="8"/>
        <w:rPr>
          <w:rFonts w:ascii="Arial"/>
          <w:sz w:val="20"/>
        </w:rPr>
      </w:pPr>
    </w:p>
    <w:p w14:paraId="0C4BDFE0" w14:textId="77777777" w:rsidR="00F56135" w:rsidRDefault="00F56135" w:rsidP="00F56135">
      <w:pPr>
        <w:pStyle w:val="BodyText"/>
        <w:spacing w:before="8"/>
        <w:rPr>
          <w:rFonts w:ascii="Arial"/>
          <w:sz w:val="20"/>
        </w:rPr>
      </w:pPr>
    </w:p>
    <w:p w14:paraId="5A2F445F" w14:textId="77777777" w:rsidR="00EB459A" w:rsidRDefault="00EB459A" w:rsidP="00F56135">
      <w:pPr>
        <w:pStyle w:val="BodyText"/>
        <w:spacing w:before="7"/>
        <w:rPr>
          <w:rFonts w:ascii="Arial"/>
          <w:sz w:val="21"/>
        </w:rPr>
      </w:pPr>
    </w:p>
    <w:p w14:paraId="68430598" w14:textId="18382C68" w:rsidR="00F56135" w:rsidRDefault="00E56126" w:rsidP="00D0613A">
      <w:pPr>
        <w:pStyle w:val="BodyText"/>
        <w:ind w:right="90"/>
        <w:rPr>
          <w:rFonts w:ascii="Arial"/>
        </w:rPr>
      </w:pPr>
      <w:r>
        <w:rPr>
          <w:rFonts w:ascii="Gadugi" w:eastAsia="Gadugi" w:hAnsi="Gadugi" w:cs="Gadugi"/>
          <w:lang w:val="fr-CA" w:bidi="fr-CA"/>
        </w:rPr>
        <w:t>Monica Ell-Kanayuk</w:t>
      </w:r>
    </w:p>
    <w:p w14:paraId="625EDA02" w14:textId="4024A898" w:rsidR="00EB459A" w:rsidRDefault="00632157" w:rsidP="00F56135">
      <w:pPr>
        <w:pStyle w:val="BodyText"/>
        <w:ind w:right="8039"/>
        <w:rPr>
          <w:rFonts w:ascii="Arial"/>
        </w:rPr>
      </w:pPr>
      <w:r>
        <w:rPr>
          <w:rFonts w:ascii="Gadugi" w:eastAsia="Gadugi" w:hAnsi="Gadugi" w:cs="Gadugi"/>
          <w:lang w:val="fr-CA" w:bidi="fr-CA"/>
        </w:rPr>
        <w:t>Présidente</w:t>
      </w:r>
    </w:p>
    <w:p w14:paraId="6BDE7556" w14:textId="46A6685F" w:rsidR="00EB459A" w:rsidRDefault="00632157" w:rsidP="00F56135">
      <w:pPr>
        <w:pStyle w:val="BodyText"/>
        <w:rPr>
          <w:rFonts w:ascii="Arial"/>
        </w:rPr>
      </w:pPr>
      <w:r>
        <w:rPr>
          <w:rFonts w:ascii="Gadugi" w:eastAsia="Gadugi" w:hAnsi="Gadugi" w:cs="Gadugi"/>
          <w:lang w:val="fr-CA" w:bidi="fr-CA"/>
        </w:rPr>
        <w:t>Conseil d’examen des taux des entreprises de service au Nunavut</w:t>
      </w:r>
    </w:p>
    <w:p w14:paraId="0198F9E4" w14:textId="77777777" w:rsidR="00EB459A" w:rsidRDefault="00EB459A" w:rsidP="00F56135">
      <w:pPr>
        <w:pStyle w:val="BodyText"/>
        <w:spacing w:before="1"/>
        <w:ind w:hanging="338"/>
        <w:rPr>
          <w:rFonts w:ascii="Arial"/>
          <w:sz w:val="36"/>
        </w:rPr>
      </w:pPr>
    </w:p>
    <w:p w14:paraId="64B74C09" w14:textId="47F5DC24" w:rsidR="00EB459A" w:rsidRDefault="00632157" w:rsidP="00D0613A">
      <w:pPr>
        <w:pStyle w:val="BodyText"/>
        <w:ind w:right="-90"/>
        <w:rPr>
          <w:rFonts w:ascii="Arial"/>
        </w:rPr>
      </w:pPr>
      <w:r>
        <w:rPr>
          <w:rFonts w:ascii="Gadugi" w:eastAsia="Gadugi" w:hAnsi="Gadugi" w:cs="Gadugi"/>
          <w:lang w:val="fr-CA" w:bidi="fr-CA"/>
        </w:rPr>
        <w:t>CC :</w:t>
      </w:r>
      <w:r>
        <w:rPr>
          <w:rFonts w:ascii="Gadugi" w:eastAsia="Gadugi" w:hAnsi="Gadugi" w:cs="Gadugi"/>
          <w:lang w:val="fr-CA" w:bidi="fr-CA"/>
        </w:rPr>
        <w:tab/>
        <w:t>L’honorable David Joanasie, ministre responsable du CETES</w:t>
      </w:r>
    </w:p>
    <w:p w14:paraId="66ECD58D" w14:textId="1879ADB2" w:rsidR="00EB459A" w:rsidRDefault="00E56126" w:rsidP="00F56135">
      <w:pPr>
        <w:pStyle w:val="BodyText"/>
        <w:ind w:left="709" w:right="-10"/>
        <w:rPr>
          <w:rFonts w:ascii="Arial"/>
        </w:rPr>
      </w:pPr>
      <w:r>
        <w:rPr>
          <w:rFonts w:ascii="Gadugi" w:eastAsia="Gadugi" w:hAnsi="Gadugi" w:cs="Gadugi"/>
          <w:lang w:val="fr-CA" w:bidi="fr-CA"/>
        </w:rPr>
        <w:t>Jimi Onalik, sous-ministre, Exécutif et Affaires intergouvernementales</w:t>
      </w:r>
    </w:p>
    <w:p w14:paraId="26C97730" w14:textId="4DCC6F55" w:rsidR="00EB459A" w:rsidRDefault="00701D0D" w:rsidP="00A96E2A">
      <w:pPr>
        <w:pStyle w:val="BodyText"/>
        <w:ind w:left="851" w:hanging="142"/>
        <w:rPr>
          <w:rFonts w:ascii="Arial"/>
        </w:rPr>
      </w:pPr>
      <w:r>
        <w:rPr>
          <w:rFonts w:ascii="Gadugi" w:eastAsia="Gadugi" w:hAnsi="Gadugi" w:cs="Gadugi"/>
          <w:lang w:val="fr-CA" w:bidi="fr-CA"/>
        </w:rPr>
        <w:t>Rick Hunt, président, Société d’énergie Qulliq</w:t>
      </w:r>
    </w:p>
    <w:p w14:paraId="626761DB" w14:textId="2F1B000D" w:rsidR="00EB459A" w:rsidRDefault="00E56126" w:rsidP="00A96E2A">
      <w:pPr>
        <w:pStyle w:val="BodyText"/>
        <w:ind w:left="851" w:hanging="142"/>
        <w:rPr>
          <w:rFonts w:ascii="Arial"/>
        </w:rPr>
      </w:pPr>
      <w:r>
        <w:rPr>
          <w:rFonts w:ascii="Gadugi" w:eastAsia="Gadugi" w:hAnsi="Gadugi" w:cs="Gadugi"/>
          <w:lang w:val="fr-CA" w:bidi="fr-CA"/>
        </w:rPr>
        <w:t>Laurie-Anne White, directrice générale du Conseil d’examen des taux des entreprises de service</w:t>
      </w:r>
    </w:p>
    <w:p w14:paraId="3321F151" w14:textId="149A258E" w:rsidR="00EB459A" w:rsidRDefault="00EB459A">
      <w:pPr>
        <w:pStyle w:val="BodyText"/>
        <w:rPr>
          <w:rFonts w:ascii="Arial"/>
          <w:sz w:val="20"/>
        </w:rPr>
      </w:pPr>
    </w:p>
    <w:p w14:paraId="789F708E" w14:textId="17ADEBBA" w:rsidR="00D0613A" w:rsidRDefault="00D0613A">
      <w:pPr>
        <w:pStyle w:val="BodyText"/>
        <w:rPr>
          <w:rFonts w:ascii="Arial"/>
          <w:sz w:val="20"/>
        </w:rPr>
      </w:pPr>
    </w:p>
    <w:p w14:paraId="6C92EE4A" w14:textId="5BCC82E5" w:rsidR="00D0613A" w:rsidRDefault="00D0613A">
      <w:pPr>
        <w:pStyle w:val="BodyText"/>
        <w:rPr>
          <w:rFonts w:ascii="Arial"/>
          <w:sz w:val="20"/>
        </w:rPr>
      </w:pPr>
    </w:p>
    <w:p w14:paraId="6E42FB57" w14:textId="77777777" w:rsidR="00D0613A" w:rsidRDefault="00D0613A">
      <w:pPr>
        <w:pStyle w:val="BodyText"/>
        <w:rPr>
          <w:rFonts w:ascii="Arial"/>
          <w:sz w:val="20"/>
        </w:rPr>
      </w:pPr>
    </w:p>
    <w:p w14:paraId="38337356" w14:textId="77777777" w:rsidR="00EB459A" w:rsidRDefault="00EB459A">
      <w:pPr>
        <w:pStyle w:val="BodyText"/>
        <w:rPr>
          <w:rFonts w:ascii="Arial"/>
          <w:sz w:val="20"/>
        </w:rPr>
      </w:pPr>
    </w:p>
    <w:p w14:paraId="28DC8BF3" w14:textId="77777777" w:rsidR="00EB459A" w:rsidRDefault="002E48FC">
      <w:pPr>
        <w:pStyle w:val="BodyText"/>
        <w:spacing w:before="9"/>
        <w:rPr>
          <w:rFonts w:ascii="Arial"/>
          <w:sz w:val="16"/>
        </w:rPr>
      </w:pPr>
      <w:r>
        <w:rPr>
          <w:rFonts w:ascii="Gadugi" w:eastAsia="Gadugi" w:hAnsi="Gadugi" w:cs="Gadugi"/>
          <w:noProof/>
          <w:lang w:val="fr-CA" w:bidi="fr-CA"/>
        </w:rPr>
        <mc:AlternateContent>
          <mc:Choice Requires="wps">
            <w:drawing>
              <wp:anchor distT="0" distB="0" distL="0" distR="0" simplePos="0" relativeHeight="251659264" behindDoc="1" locked="0" layoutInCell="1" allowOverlap="1" wp14:anchorId="66C88489" wp14:editId="35915A54">
                <wp:simplePos x="0" y="0"/>
                <wp:positionH relativeFrom="page">
                  <wp:posOffset>1215390</wp:posOffset>
                </wp:positionH>
                <wp:positionV relativeFrom="paragraph">
                  <wp:posOffset>153670</wp:posOffset>
                </wp:positionV>
                <wp:extent cx="546163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914 1914"/>
                            <a:gd name="T1" fmla="*/ T0 w 8601"/>
                            <a:gd name="T2" fmla="+- 0 10515 1914"/>
                            <a:gd name="T3" fmla="*/ T2 w 8601"/>
                          </a:gdLst>
                          <a:ahLst/>
                          <a:cxnLst>
                            <a:cxn ang="0">
                              <a:pos x="T1" y="0"/>
                            </a:cxn>
                            <a:cxn ang="0">
                              <a:pos x="T3" y="0"/>
                            </a:cxn>
                          </a:cxnLst>
                          <a:rect l="0" t="0" r="r" b="b"/>
                          <a:pathLst>
                            <a:path w="8601">
                              <a:moveTo>
                                <a:pt x="0" y="0"/>
                              </a:moveTo>
                              <a:lnTo>
                                <a:pt x="8601" y="0"/>
                              </a:lnTo>
                            </a:path>
                          </a:pathLst>
                        </a:custGeom>
                        <a:noFill/>
                        <a:ln w="12700">
                          <a:solidFill>
                            <a:srgbClr val="0096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EF0CF" id="Freeform 3" o:spid="_x0000_s1026" style="position:absolute;margin-left:95.7pt;margin-top:12.1pt;width:43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" path="m,l8601,e" filled="f" strokecolor="#0096d6" strokeweight="1pt">
                <v:path arrowok="t" o:connecttype="custom" o:connectlocs="0,0;5461635,0" o:connectangles="0,0"/>
                <w10:wrap type="topAndBottom" anchorx="page"/>
              </v:shape>
            </w:pict>
          </mc:Fallback>
        </mc:AlternateContent>
      </w:r>
    </w:p>
    <w:p w14:paraId="2FF1BDB9" w14:textId="77777777" w:rsidR="00EB459A" w:rsidRDefault="00632157" w:rsidP="00734E8C">
      <w:pPr>
        <w:pStyle w:val="BodyText"/>
        <w:spacing w:before="70"/>
        <w:jc w:val="center"/>
        <w:rPr>
          <w:rFonts w:ascii="Tahoma"/>
        </w:rPr>
      </w:pPr>
      <w:r>
        <w:rPr>
          <w:rFonts w:ascii="Gadugi" w:eastAsia="Gadugi" w:hAnsi="Gadugi" w:cs="Gadugi"/>
          <w:color w:val="231F20"/>
          <w:lang w:val="fr-CA" w:bidi="fr-CA"/>
        </w:rPr>
        <w:t>C.P. 1000, succursale 200, Iqaluit (NU)  X0A 0H0</w:t>
      </w:r>
    </w:p>
    <w:p w14:paraId="680830E1" w14:textId="77777777" w:rsidR="00EB459A" w:rsidRDefault="00EB459A">
      <w:pPr>
        <w:rPr>
          <w:rFonts w:ascii="Tahoma"/>
        </w:rPr>
        <w:sectPr w:rsidR="00EB459A" w:rsidSect="003F79FA">
          <w:footerReference w:type="default" r:id="rId10"/>
          <w:type w:val="continuous"/>
          <w:pgSz w:w="12240" w:h="15840"/>
          <w:pgMar w:top="706" w:right="1440" w:bottom="720" w:left="1440" w:header="720" w:footer="720" w:gutter="0"/>
          <w:cols w:space="720"/>
        </w:sectPr>
      </w:pPr>
    </w:p>
    <w:p w14:paraId="1D481D4E" w14:textId="77777777" w:rsidR="00EB459A" w:rsidRDefault="00EB459A">
      <w:pPr>
        <w:pStyle w:val="BodyText"/>
        <w:spacing w:before="4"/>
        <w:rPr>
          <w:rFonts w:ascii="Tahoma"/>
          <w:sz w:val="9"/>
        </w:rPr>
      </w:pPr>
    </w:p>
    <w:p w14:paraId="7298EC96" w14:textId="4AE892BD" w:rsidR="00EB459A" w:rsidRDefault="006F6525" w:rsidP="006F6525">
      <w:pPr>
        <w:pStyle w:val="BodyText"/>
        <w:rPr>
          <w:rFonts w:ascii="Tahoma"/>
          <w:sz w:val="20"/>
        </w:rPr>
      </w:pPr>
      <w:r>
        <w:rPr>
          <w:rFonts w:ascii="Gadugi" w:eastAsia="Gadugi" w:hAnsi="Gadugi" w:cs="Gadugi"/>
          <w:noProof/>
          <w:sz w:val="20"/>
          <w:lang w:val="fr-CA" w:bidi="fr-CA"/>
        </w:rPr>
        <w:drawing>
          <wp:inline distT="0" distB="0" distL="0" distR="0" wp14:anchorId="2FDD9932" wp14:editId="0A69C8A3">
            <wp:extent cx="5685577" cy="2108835"/>
            <wp:effectExtent l="0" t="0" r="4445" b="0"/>
            <wp:docPr id="1421942466" name="Picture 142194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47543" name="Picture 521247543"/>
                    <pic:cNvPicPr/>
                  </pic:nvPicPr>
                  <pic:blipFill>
                    <a:blip r:embed="rId8">
                      <a:extLst>
                        <a:ext uri="{28A0092B-C50C-407E-A947-70E740481C1C}">
                          <a14:useLocalDpi xmlns:a14="http://schemas.microsoft.com/office/drawing/2010/main" val="0"/>
                        </a:ext>
                      </a:extLst>
                    </a:blip>
                    <a:stretch>
                      <a:fillRect/>
                    </a:stretch>
                  </pic:blipFill>
                  <pic:spPr>
                    <a:xfrm>
                      <a:off x="0" y="0"/>
                      <a:ext cx="5806377" cy="2153641"/>
                    </a:xfrm>
                    <a:prstGeom prst="rect">
                      <a:avLst/>
                    </a:prstGeom>
                  </pic:spPr>
                </pic:pic>
              </a:graphicData>
            </a:graphic>
          </wp:inline>
        </w:drawing>
      </w:r>
    </w:p>
    <w:p w14:paraId="6FB9199F" w14:textId="77777777" w:rsidR="00EB459A" w:rsidRDefault="00EB459A">
      <w:pPr>
        <w:pStyle w:val="BodyText"/>
        <w:rPr>
          <w:rFonts w:ascii="Tahoma"/>
          <w:sz w:val="20"/>
        </w:rPr>
      </w:pPr>
    </w:p>
    <w:p w14:paraId="2B18CE97" w14:textId="77777777" w:rsidR="00EB459A" w:rsidRDefault="00EB459A">
      <w:pPr>
        <w:pStyle w:val="BodyText"/>
        <w:rPr>
          <w:rFonts w:ascii="Tahoma"/>
          <w:sz w:val="20"/>
        </w:rPr>
      </w:pPr>
    </w:p>
    <w:p w14:paraId="71BA4AFF" w14:textId="77777777" w:rsidR="00EB459A" w:rsidRDefault="00EB459A">
      <w:pPr>
        <w:pStyle w:val="BodyText"/>
        <w:spacing w:before="8"/>
        <w:rPr>
          <w:rFonts w:ascii="Tahoma"/>
        </w:rPr>
      </w:pPr>
    </w:p>
    <w:p w14:paraId="12DC182B" w14:textId="77777777" w:rsidR="00EB459A" w:rsidRPr="005B0B3B" w:rsidRDefault="00632157" w:rsidP="00D85A30">
      <w:pPr>
        <w:pStyle w:val="Heading1"/>
        <w:spacing w:before="91" w:line="482" w:lineRule="auto"/>
        <w:rPr>
          <w:rFonts w:ascii="Times New Roman" w:hAnsi="Times New Roman" w:cs="Times New Roman"/>
        </w:rPr>
      </w:pPr>
      <w:bookmarkStart w:id="1" w:name="Cover_Page"/>
      <w:bookmarkEnd w:id="1"/>
      <w:r w:rsidRPr="005B0B3B">
        <w:rPr>
          <w:rFonts w:ascii="Gadugi" w:eastAsia="Gadugi" w:hAnsi="Gadugi" w:cs="Gadugi"/>
          <w:lang w:val="fr-CA" w:bidi="fr-CA"/>
        </w:rPr>
        <w:t>Rapport au ministre responsable de la Société d’énergie Qulliq concernant :</w:t>
      </w:r>
    </w:p>
    <w:p w14:paraId="41592D39" w14:textId="0F3CDD4C" w:rsidR="00235F9A" w:rsidRPr="005B0B3B" w:rsidRDefault="00632157" w:rsidP="00D85A30">
      <w:pPr>
        <w:jc w:val="center"/>
        <w:rPr>
          <w:b/>
          <w:sz w:val="28"/>
          <w:szCs w:val="28"/>
        </w:rPr>
      </w:pPr>
      <w:r w:rsidRPr="005B0B3B">
        <w:rPr>
          <w:rFonts w:ascii="Gadugi" w:eastAsia="Gadugi" w:hAnsi="Gadugi" w:cs="Gadugi"/>
          <w:b/>
          <w:sz w:val="28"/>
          <w:lang w:val="fr-CA" w:bidi="fr-CA"/>
        </w:rPr>
        <w:t xml:space="preserve">Une demande par la Société d’énergie Qulliq pour </w:t>
      </w:r>
    </w:p>
    <w:p w14:paraId="2097E318" w14:textId="3664EECA" w:rsidR="00EB459A" w:rsidRPr="005B0B3B" w:rsidRDefault="00632157" w:rsidP="00D85A30">
      <w:pPr>
        <w:jc w:val="center"/>
        <w:rPr>
          <w:b/>
          <w:sz w:val="28"/>
          <w:szCs w:val="28"/>
        </w:rPr>
      </w:pPr>
      <w:r w:rsidRPr="005B0B3B">
        <w:rPr>
          <w:rFonts w:ascii="Gadugi" w:eastAsia="Gadugi" w:hAnsi="Gadugi" w:cs="Gadugi"/>
          <w:b/>
          <w:sz w:val="28"/>
          <w:lang w:val="fr-CA" w:bidi="fr-CA"/>
        </w:rPr>
        <w:t>l’approbation d’un taux de stabilisation du prix du combustible pour la période</w:t>
      </w:r>
    </w:p>
    <w:p w14:paraId="7DEFCF68" w14:textId="77777777" w:rsidR="00EB459A" w:rsidRPr="005B0B3B" w:rsidRDefault="00EB459A" w:rsidP="00D85A30">
      <w:pPr>
        <w:pStyle w:val="BodyText"/>
        <w:spacing w:before="7"/>
        <w:jc w:val="center"/>
        <w:rPr>
          <w:b/>
          <w:sz w:val="28"/>
          <w:szCs w:val="28"/>
        </w:rPr>
      </w:pPr>
    </w:p>
    <w:p w14:paraId="73F4B1C1" w14:textId="77777777" w:rsidR="00EB459A" w:rsidRPr="005B0B3B" w:rsidRDefault="00632157" w:rsidP="00D85A30">
      <w:pPr>
        <w:spacing w:line="322" w:lineRule="exact"/>
        <w:jc w:val="center"/>
        <w:rPr>
          <w:b/>
          <w:sz w:val="28"/>
          <w:szCs w:val="28"/>
        </w:rPr>
      </w:pPr>
      <w:r w:rsidRPr="005B0B3B">
        <w:rPr>
          <w:rFonts w:ascii="Gadugi" w:eastAsia="Gadugi" w:hAnsi="Gadugi" w:cs="Gadugi"/>
          <w:b/>
          <w:sz w:val="28"/>
          <w:lang w:val="fr-CA" w:bidi="fr-CA"/>
        </w:rPr>
        <w:t>du</w:t>
      </w:r>
    </w:p>
    <w:p w14:paraId="0D542563" w14:textId="55CADE5E" w:rsidR="00EB459A" w:rsidRPr="005B0B3B" w:rsidRDefault="00A101C9" w:rsidP="00D85A30">
      <w:pPr>
        <w:spacing w:line="322" w:lineRule="exact"/>
        <w:jc w:val="center"/>
        <w:rPr>
          <w:b/>
          <w:sz w:val="28"/>
          <w:szCs w:val="28"/>
        </w:rPr>
      </w:pPr>
      <w:r>
        <w:rPr>
          <w:rFonts w:ascii="Gadugi" w:eastAsia="Gadugi" w:hAnsi="Gadugi" w:cs="Gadugi"/>
          <w:b/>
          <w:sz w:val="28"/>
          <w:lang w:val="fr-CA" w:bidi="fr-CA"/>
        </w:rPr>
        <w:t>1</w:t>
      </w:r>
      <w:r>
        <w:rPr>
          <w:rFonts w:ascii="Gadugi" w:eastAsia="Gadugi" w:hAnsi="Gadugi" w:cs="Gadugi"/>
          <w:b/>
          <w:sz w:val="28"/>
          <w:vertAlign w:val="superscript"/>
          <w:lang w:val="fr-CA" w:bidi="fr-CA"/>
        </w:rPr>
        <w:t>er</w:t>
      </w:r>
      <w:r>
        <w:rPr>
          <w:rFonts w:ascii="Gadugi" w:eastAsia="Gadugi" w:hAnsi="Gadugi" w:cs="Gadugi"/>
          <w:b/>
          <w:sz w:val="28"/>
          <w:lang w:val="fr-CA" w:bidi="fr-CA"/>
        </w:rPr>
        <w:t xml:space="preserve"> avril au 30 septembre 2023</w:t>
      </w:r>
    </w:p>
    <w:p w14:paraId="702B0C92" w14:textId="77777777" w:rsidR="00EB459A" w:rsidRPr="005B0B3B" w:rsidRDefault="00EB459A" w:rsidP="00D85A30">
      <w:pPr>
        <w:pStyle w:val="BodyText"/>
        <w:spacing w:before="11"/>
        <w:jc w:val="center"/>
        <w:rPr>
          <w:b/>
          <w:sz w:val="28"/>
          <w:szCs w:val="28"/>
        </w:rPr>
      </w:pPr>
    </w:p>
    <w:p w14:paraId="3E8E336D" w14:textId="3DA96C5D" w:rsidR="00EB459A" w:rsidRDefault="00632157" w:rsidP="00D85A30">
      <w:pPr>
        <w:jc w:val="center"/>
        <w:rPr>
          <w:rFonts w:ascii="Arial"/>
          <w:b/>
          <w:sz w:val="28"/>
        </w:rPr>
      </w:pPr>
      <w:r w:rsidRPr="005B0B3B">
        <w:rPr>
          <w:rFonts w:ascii="Gadugi" w:eastAsia="Gadugi" w:hAnsi="Gadugi" w:cs="Gadugi"/>
          <w:b/>
          <w:sz w:val="28"/>
          <w:lang w:val="fr-CA" w:bidi="fr-CA"/>
        </w:rPr>
        <w:t>Rapport 2023-02</w:t>
      </w:r>
    </w:p>
    <w:p w14:paraId="7057B622" w14:textId="77777777" w:rsidR="00EB459A" w:rsidRDefault="00EB459A" w:rsidP="00D85A30">
      <w:pPr>
        <w:pStyle w:val="BodyText"/>
        <w:jc w:val="center"/>
        <w:rPr>
          <w:rFonts w:ascii="Arial"/>
          <w:b/>
          <w:sz w:val="30"/>
        </w:rPr>
      </w:pPr>
    </w:p>
    <w:p w14:paraId="6FF338E0" w14:textId="77777777" w:rsidR="00EB459A" w:rsidRDefault="00EB459A">
      <w:pPr>
        <w:pStyle w:val="BodyText"/>
        <w:rPr>
          <w:rFonts w:ascii="Arial"/>
          <w:b/>
          <w:sz w:val="30"/>
        </w:rPr>
      </w:pPr>
    </w:p>
    <w:p w14:paraId="60D9D366" w14:textId="77777777" w:rsidR="00EB459A" w:rsidRDefault="00EB459A">
      <w:pPr>
        <w:pStyle w:val="BodyText"/>
        <w:rPr>
          <w:rFonts w:ascii="Arial"/>
          <w:b/>
          <w:sz w:val="30"/>
        </w:rPr>
      </w:pPr>
    </w:p>
    <w:p w14:paraId="1F8FCACC" w14:textId="77777777" w:rsidR="00EB459A" w:rsidRDefault="00EB459A">
      <w:pPr>
        <w:pStyle w:val="BodyText"/>
        <w:rPr>
          <w:rFonts w:ascii="Arial"/>
          <w:b/>
          <w:sz w:val="30"/>
        </w:rPr>
      </w:pPr>
    </w:p>
    <w:p w14:paraId="6A63A64F" w14:textId="77777777" w:rsidR="00EB459A" w:rsidRDefault="00EB459A">
      <w:pPr>
        <w:pStyle w:val="BodyText"/>
        <w:rPr>
          <w:rFonts w:ascii="Arial"/>
          <w:b/>
          <w:sz w:val="30"/>
        </w:rPr>
      </w:pPr>
    </w:p>
    <w:p w14:paraId="0BF0195E" w14:textId="77777777" w:rsidR="00EB459A" w:rsidRDefault="00EB459A">
      <w:pPr>
        <w:pStyle w:val="BodyText"/>
        <w:rPr>
          <w:rFonts w:ascii="Arial"/>
          <w:b/>
          <w:sz w:val="30"/>
        </w:rPr>
      </w:pPr>
    </w:p>
    <w:p w14:paraId="1509D782" w14:textId="77777777" w:rsidR="00EB459A" w:rsidRDefault="00EB459A">
      <w:pPr>
        <w:pStyle w:val="BodyText"/>
        <w:rPr>
          <w:rFonts w:ascii="Arial"/>
          <w:b/>
          <w:sz w:val="30"/>
        </w:rPr>
      </w:pPr>
    </w:p>
    <w:p w14:paraId="359D5E15" w14:textId="77777777" w:rsidR="00EB459A" w:rsidRDefault="00EB459A">
      <w:pPr>
        <w:pStyle w:val="BodyText"/>
        <w:rPr>
          <w:rFonts w:ascii="Arial"/>
          <w:b/>
          <w:sz w:val="30"/>
        </w:rPr>
      </w:pPr>
    </w:p>
    <w:p w14:paraId="712F2CE2" w14:textId="77777777" w:rsidR="00EB459A" w:rsidRDefault="00EB459A">
      <w:pPr>
        <w:pStyle w:val="BodyText"/>
        <w:rPr>
          <w:rFonts w:ascii="Arial"/>
          <w:b/>
          <w:sz w:val="30"/>
        </w:rPr>
      </w:pPr>
    </w:p>
    <w:p w14:paraId="39D9D177" w14:textId="77777777" w:rsidR="00EB459A" w:rsidRDefault="00EB459A">
      <w:pPr>
        <w:pStyle w:val="BodyText"/>
        <w:spacing w:before="11"/>
        <w:rPr>
          <w:rFonts w:ascii="Arial"/>
          <w:b/>
          <w:sz w:val="37"/>
        </w:rPr>
      </w:pPr>
    </w:p>
    <w:p w14:paraId="74458357" w14:textId="569617D7" w:rsidR="00EB459A" w:rsidRPr="005B0B3B" w:rsidRDefault="006F6525">
      <w:pPr>
        <w:ind w:right="375"/>
        <w:jc w:val="center"/>
        <w:rPr>
          <w:b/>
          <w:sz w:val="28"/>
        </w:rPr>
      </w:pPr>
      <w:r>
        <w:rPr>
          <w:rFonts w:ascii="Gadugi" w:eastAsia="Gadugi" w:hAnsi="Gadugi" w:cs="Gadugi"/>
          <w:b/>
          <w:sz w:val="28"/>
          <w:lang w:val="fr-CA" w:bidi="fr-CA"/>
        </w:rPr>
        <w:t>7 juin 2023</w:t>
      </w:r>
    </w:p>
    <w:p w14:paraId="29CC9AE4" w14:textId="77777777" w:rsidR="00EB459A" w:rsidRDefault="00EB459A">
      <w:pPr>
        <w:jc w:val="center"/>
        <w:rPr>
          <w:rFonts w:ascii="Arial"/>
          <w:sz w:val="28"/>
        </w:rPr>
        <w:sectPr w:rsidR="00EB459A" w:rsidSect="00D85A30">
          <w:footerReference w:type="default" r:id="rId11"/>
          <w:pgSz w:w="12240" w:h="15840"/>
          <w:pgMar w:top="1440" w:right="1440" w:bottom="720" w:left="1440" w:header="720" w:footer="720" w:gutter="0"/>
          <w:cols w:space="720"/>
        </w:sectPr>
      </w:pPr>
    </w:p>
    <w:p w14:paraId="0E395E6E" w14:textId="14F050A3" w:rsidR="00EB459A" w:rsidRPr="009A35CC" w:rsidRDefault="009A35CC" w:rsidP="009A35CC">
      <w:pPr>
        <w:pStyle w:val="BodyText"/>
        <w:spacing w:before="9"/>
        <w:jc w:val="center"/>
        <w:rPr>
          <w:b/>
        </w:rPr>
      </w:pPr>
      <w:r w:rsidRPr="009A35CC">
        <w:rPr>
          <w:rFonts w:ascii="Gadugi" w:eastAsia="Gadugi" w:hAnsi="Gadugi" w:cs="Gadugi"/>
          <w:b/>
          <w:lang w:val="fr-CA" w:bidi="fr-CA"/>
        </w:rPr>
        <w:lastRenderedPageBreak/>
        <w:t>CONSEIL D’EXAMEN DES TAUX DES ENTREPRISES DE SERVICES AU NUNAVUT</w:t>
      </w:r>
    </w:p>
    <w:p w14:paraId="177CE43B" w14:textId="77777777" w:rsidR="009A35CC" w:rsidRDefault="009A35CC">
      <w:pPr>
        <w:pStyle w:val="Heading2"/>
        <w:rPr>
          <w:u w:val="thick"/>
        </w:rPr>
      </w:pPr>
      <w:bookmarkStart w:id="2" w:name="Panels_Members"/>
      <w:bookmarkStart w:id="3" w:name="Support"/>
      <w:bookmarkEnd w:id="2"/>
      <w:bookmarkEnd w:id="3"/>
    </w:p>
    <w:p w14:paraId="66D91731" w14:textId="77777777" w:rsidR="009A35CC" w:rsidRDefault="009A35CC">
      <w:pPr>
        <w:pStyle w:val="Heading2"/>
        <w:rPr>
          <w:u w:val="thick"/>
        </w:rPr>
      </w:pPr>
    </w:p>
    <w:p w14:paraId="49E85B48" w14:textId="2D4C655B" w:rsidR="00EB459A" w:rsidRDefault="00632157">
      <w:pPr>
        <w:pStyle w:val="Heading2"/>
      </w:pPr>
      <w:r>
        <w:rPr>
          <w:rFonts w:ascii="Gadugi" w:eastAsia="Gadugi" w:hAnsi="Gadugi" w:cs="Gadugi"/>
          <w:u w:val="thick"/>
          <w:lang w:val="fr-CA" w:bidi="fr-CA"/>
        </w:rPr>
        <w:t>MEMBRES DU CONSEIL</w:t>
      </w:r>
    </w:p>
    <w:p w14:paraId="7202BCC5" w14:textId="77777777" w:rsidR="00EB459A" w:rsidRDefault="00EB459A">
      <w:pPr>
        <w:pStyle w:val="BodyText"/>
        <w:rPr>
          <w:b/>
          <w:sz w:val="20"/>
        </w:rPr>
      </w:pPr>
    </w:p>
    <w:p w14:paraId="163DE50A" w14:textId="53A2B173" w:rsidR="001E21FD" w:rsidRDefault="0082673F" w:rsidP="003478F9">
      <w:pPr>
        <w:pStyle w:val="BodyText"/>
        <w:tabs>
          <w:tab w:val="left" w:pos="5580"/>
        </w:tabs>
        <w:spacing w:before="90" w:after="240"/>
        <w:ind w:left="2970"/>
      </w:pPr>
      <w:r>
        <w:rPr>
          <w:rFonts w:ascii="Gadugi" w:eastAsia="Gadugi" w:hAnsi="Gadugi" w:cs="Gadugi"/>
          <w:lang w:val="fr-CA" w:bidi="fr-CA"/>
        </w:rPr>
        <w:t>Monica Ell-Kanayuk</w:t>
      </w:r>
      <w:r>
        <w:rPr>
          <w:rFonts w:ascii="Gadugi" w:eastAsia="Gadugi" w:hAnsi="Gadugi" w:cs="Gadugi"/>
          <w:lang w:val="fr-CA" w:bidi="fr-CA"/>
        </w:rPr>
        <w:tab/>
        <w:t>Présidente</w:t>
      </w:r>
    </w:p>
    <w:p w14:paraId="5F885FE9" w14:textId="3E4724E4" w:rsidR="00EB459A" w:rsidRDefault="00632157" w:rsidP="003478F9">
      <w:pPr>
        <w:pStyle w:val="BodyText"/>
        <w:tabs>
          <w:tab w:val="left" w:pos="5580"/>
        </w:tabs>
        <w:spacing w:before="90" w:after="240"/>
        <w:ind w:left="2970"/>
      </w:pPr>
      <w:r>
        <w:rPr>
          <w:rFonts w:ascii="Gadugi" w:eastAsia="Gadugi" w:hAnsi="Gadugi" w:cs="Gadugi"/>
          <w:lang w:val="fr-CA" w:bidi="fr-CA"/>
        </w:rPr>
        <w:t>Graham Lock</w:t>
      </w:r>
      <w:r>
        <w:rPr>
          <w:rFonts w:ascii="Gadugi" w:eastAsia="Gadugi" w:hAnsi="Gadugi" w:cs="Gadugi"/>
          <w:lang w:val="fr-CA" w:bidi="fr-CA"/>
        </w:rPr>
        <w:tab/>
        <w:t>Vice-président</w:t>
      </w:r>
    </w:p>
    <w:p w14:paraId="2750A8FC" w14:textId="77777777" w:rsidR="00EB459A" w:rsidRDefault="00632157" w:rsidP="003478F9">
      <w:pPr>
        <w:pStyle w:val="BodyText"/>
        <w:tabs>
          <w:tab w:val="left" w:pos="5580"/>
        </w:tabs>
        <w:spacing w:before="137"/>
        <w:ind w:left="2970"/>
      </w:pPr>
      <w:r>
        <w:rPr>
          <w:rFonts w:ascii="Gadugi" w:eastAsia="Gadugi" w:hAnsi="Gadugi" w:cs="Gadugi"/>
          <w:lang w:val="fr-CA" w:bidi="fr-CA"/>
        </w:rPr>
        <w:t>Nadia Ciccone</w:t>
      </w:r>
      <w:r>
        <w:rPr>
          <w:rFonts w:ascii="Gadugi" w:eastAsia="Gadugi" w:hAnsi="Gadugi" w:cs="Gadugi"/>
          <w:lang w:val="fr-CA" w:bidi="fr-CA"/>
        </w:rPr>
        <w:tab/>
        <w:t>Membre</w:t>
      </w:r>
    </w:p>
    <w:p w14:paraId="5C6F84CA" w14:textId="77777777" w:rsidR="00EB459A" w:rsidRDefault="00EB459A">
      <w:pPr>
        <w:pStyle w:val="BodyText"/>
        <w:rPr>
          <w:sz w:val="20"/>
        </w:rPr>
      </w:pPr>
    </w:p>
    <w:p w14:paraId="3D4630E5" w14:textId="77777777" w:rsidR="00EB459A" w:rsidRDefault="00EB459A">
      <w:pPr>
        <w:pStyle w:val="BodyText"/>
        <w:rPr>
          <w:sz w:val="20"/>
        </w:rPr>
      </w:pPr>
    </w:p>
    <w:p w14:paraId="48CE902A" w14:textId="77777777" w:rsidR="00EB459A" w:rsidRDefault="00EB459A">
      <w:pPr>
        <w:pStyle w:val="BodyText"/>
        <w:rPr>
          <w:sz w:val="20"/>
        </w:rPr>
      </w:pPr>
    </w:p>
    <w:p w14:paraId="377D8655" w14:textId="77777777" w:rsidR="00EB459A" w:rsidRDefault="00EB459A">
      <w:pPr>
        <w:pStyle w:val="BodyText"/>
        <w:rPr>
          <w:sz w:val="20"/>
        </w:rPr>
      </w:pPr>
    </w:p>
    <w:p w14:paraId="65973402" w14:textId="77777777" w:rsidR="00EB459A" w:rsidRDefault="00EB459A">
      <w:pPr>
        <w:pStyle w:val="BodyText"/>
        <w:rPr>
          <w:sz w:val="20"/>
        </w:rPr>
      </w:pPr>
    </w:p>
    <w:p w14:paraId="74B3155A" w14:textId="77777777" w:rsidR="00EB459A" w:rsidRDefault="00EB459A">
      <w:pPr>
        <w:rPr>
          <w:sz w:val="20"/>
        </w:rPr>
        <w:sectPr w:rsidR="00EB459A">
          <w:footerReference w:type="default" r:id="rId12"/>
          <w:pgSz w:w="12240" w:h="15840"/>
          <w:pgMar w:top="1500" w:right="940" w:bottom="280" w:left="1320" w:header="720" w:footer="720" w:gutter="0"/>
          <w:cols w:space="720"/>
        </w:sectPr>
      </w:pPr>
    </w:p>
    <w:p w14:paraId="15471BBA" w14:textId="5014BC67" w:rsidR="00EB459A" w:rsidRDefault="00632157">
      <w:pPr>
        <w:pStyle w:val="Heading2"/>
        <w:spacing w:before="230"/>
        <w:rPr>
          <w:u w:val="thick"/>
        </w:rPr>
      </w:pPr>
      <w:r>
        <w:rPr>
          <w:rFonts w:ascii="Gadugi" w:eastAsia="Gadugi" w:hAnsi="Gadugi" w:cs="Gadugi"/>
          <w:u w:val="thick"/>
          <w:lang w:val="fr-CA" w:bidi="fr-CA"/>
        </w:rPr>
        <w:t>PERSONNEL COMPLÉMENTAIRE</w:t>
      </w:r>
    </w:p>
    <w:p w14:paraId="468C93E9" w14:textId="77777777" w:rsidR="00235F9A" w:rsidRDefault="00235F9A">
      <w:pPr>
        <w:pStyle w:val="Heading2"/>
        <w:spacing w:before="230"/>
      </w:pPr>
    </w:p>
    <w:p w14:paraId="63FF7620" w14:textId="1A1318FB" w:rsidR="00EB459A" w:rsidRDefault="00632157">
      <w:pPr>
        <w:pStyle w:val="BodyText"/>
      </w:pPr>
      <w:r>
        <w:rPr>
          <w:rFonts w:ascii="Gadugi" w:eastAsia="Gadugi" w:hAnsi="Gadugi" w:cs="Gadugi"/>
          <w:lang w:val="fr-CA" w:bidi="fr-CA"/>
        </w:rPr>
        <w:br w:type="column"/>
      </w:r>
    </w:p>
    <w:p w14:paraId="191A7AC7" w14:textId="77777777" w:rsidR="00235F9A" w:rsidRDefault="00235F9A" w:rsidP="00235F9A">
      <w:pPr>
        <w:pStyle w:val="BodyText"/>
        <w:ind w:left="-2790"/>
        <w:rPr>
          <w:b/>
          <w:sz w:val="26"/>
        </w:rPr>
      </w:pPr>
    </w:p>
    <w:p w14:paraId="5A63955F" w14:textId="6B840E27" w:rsidR="00EB459A" w:rsidRDefault="0082673F" w:rsidP="003478F9">
      <w:pPr>
        <w:pStyle w:val="BodyText"/>
        <w:tabs>
          <w:tab w:val="left" w:pos="2700"/>
        </w:tabs>
        <w:spacing w:before="207" w:after="240"/>
        <w:ind w:left="115"/>
      </w:pPr>
      <w:r>
        <w:rPr>
          <w:rFonts w:ascii="Gadugi" w:eastAsia="Gadugi" w:hAnsi="Gadugi" w:cs="Gadugi"/>
          <w:lang w:val="fr-CA" w:bidi="fr-CA"/>
        </w:rPr>
        <w:t>Laurie-Anne White</w:t>
      </w:r>
      <w:r>
        <w:rPr>
          <w:rFonts w:ascii="Gadugi" w:eastAsia="Gadugi" w:hAnsi="Gadugi" w:cs="Gadugi"/>
          <w:lang w:val="fr-CA" w:bidi="fr-CA"/>
        </w:rPr>
        <w:tab/>
        <w:t>Directrice générale</w:t>
      </w:r>
    </w:p>
    <w:p w14:paraId="39663EFF" w14:textId="77777777" w:rsidR="00EB459A" w:rsidRDefault="00632157" w:rsidP="003478F9">
      <w:pPr>
        <w:pStyle w:val="BodyText"/>
        <w:tabs>
          <w:tab w:val="left" w:pos="2700"/>
        </w:tabs>
        <w:spacing w:before="139"/>
        <w:ind w:left="120"/>
      </w:pPr>
      <w:r>
        <w:rPr>
          <w:rFonts w:ascii="Gadugi" w:eastAsia="Gadugi" w:hAnsi="Gadugi" w:cs="Gadugi"/>
          <w:lang w:val="fr-CA" w:bidi="fr-CA"/>
        </w:rPr>
        <w:t>Wade Vienneau</w:t>
      </w:r>
      <w:r>
        <w:rPr>
          <w:rFonts w:ascii="Gadugi" w:eastAsia="Gadugi" w:hAnsi="Gadugi" w:cs="Gadugi"/>
          <w:lang w:val="fr-CA" w:bidi="fr-CA"/>
        </w:rPr>
        <w:tab/>
        <w:t>Conseiller</w:t>
      </w:r>
    </w:p>
    <w:p w14:paraId="228B7C2E" w14:textId="77777777" w:rsidR="00EB459A" w:rsidRDefault="00EB459A">
      <w:pPr>
        <w:sectPr w:rsidR="00EB459A">
          <w:type w:val="continuous"/>
          <w:pgSz w:w="12240" w:h="15840"/>
          <w:pgMar w:top="700" w:right="940" w:bottom="280" w:left="1320" w:header="720" w:footer="720" w:gutter="0"/>
          <w:cols w:num="2" w:space="720" w:equalWidth="0">
            <w:col w:w="1278" w:space="1602"/>
            <w:col w:w="7100"/>
          </w:cols>
        </w:sectPr>
      </w:pPr>
    </w:p>
    <w:p w14:paraId="57D0FFA9" w14:textId="77777777" w:rsidR="00EB459A" w:rsidRDefault="00EB459A">
      <w:pPr>
        <w:pStyle w:val="BodyText"/>
        <w:spacing w:before="10"/>
        <w:rPr>
          <w:sz w:val="22"/>
        </w:rPr>
      </w:pPr>
    </w:p>
    <w:p w14:paraId="07ECCDD7" w14:textId="2A01447A" w:rsidR="00EB459A" w:rsidRDefault="00632157" w:rsidP="00855899">
      <w:pPr>
        <w:pStyle w:val="Heading2"/>
        <w:ind w:left="90" w:right="379"/>
        <w:jc w:val="center"/>
      </w:pPr>
      <w:bookmarkStart w:id="4" w:name="Table_of_Contents"/>
      <w:bookmarkStart w:id="5" w:name="_bookmark0"/>
      <w:bookmarkStart w:id="6" w:name="List_of_Abbreviations"/>
      <w:bookmarkEnd w:id="4"/>
      <w:bookmarkEnd w:id="5"/>
      <w:bookmarkEnd w:id="6"/>
      <w:r>
        <w:rPr>
          <w:rFonts w:ascii="Gadugi" w:eastAsia="Gadugi" w:hAnsi="Gadugi" w:cs="Gadugi"/>
          <w:lang w:val="fr-CA" w:bidi="fr-CA"/>
        </w:rPr>
        <w:t>LISTE DES ABRÉVIATIONS</w:t>
      </w:r>
    </w:p>
    <w:p w14:paraId="0DACC681" w14:textId="77777777" w:rsidR="00E811FC" w:rsidRDefault="00E811FC" w:rsidP="00235F9A">
      <w:pPr>
        <w:pStyle w:val="Heading2"/>
        <w:ind w:left="720" w:right="379"/>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390"/>
      </w:tblGrid>
      <w:tr w:rsidR="0053245D" w14:paraId="36021714" w14:textId="00C43736" w:rsidTr="003C51FD">
        <w:tc>
          <w:tcPr>
            <w:tcW w:w="2070" w:type="dxa"/>
          </w:tcPr>
          <w:p w14:paraId="660BA7E0" w14:textId="56BEF5F7" w:rsidR="0053245D" w:rsidRPr="00235F9A" w:rsidRDefault="0053245D" w:rsidP="00904806">
            <w:pPr>
              <w:pStyle w:val="BodyText"/>
              <w:spacing w:before="120" w:after="120"/>
              <w:ind w:left="173"/>
              <w:rPr>
                <w:sz w:val="26"/>
              </w:rPr>
            </w:pPr>
          </w:p>
        </w:tc>
        <w:tc>
          <w:tcPr>
            <w:tcW w:w="6390" w:type="dxa"/>
          </w:tcPr>
          <w:p w14:paraId="683435D5" w14:textId="76EEE41C" w:rsidR="0053245D" w:rsidRPr="00235F9A" w:rsidRDefault="0053245D" w:rsidP="00904806">
            <w:pPr>
              <w:pStyle w:val="BodyText"/>
              <w:spacing w:before="120" w:after="120"/>
              <w:rPr>
                <w:sz w:val="26"/>
              </w:rPr>
            </w:pPr>
          </w:p>
        </w:tc>
      </w:tr>
      <w:tr w:rsidR="004715C7" w14:paraId="45407D88" w14:textId="77777777" w:rsidTr="00FD564D">
        <w:tc>
          <w:tcPr>
            <w:tcW w:w="2070" w:type="dxa"/>
          </w:tcPr>
          <w:p w14:paraId="53E139A8" w14:textId="22C1F9FB" w:rsidR="004715C7" w:rsidRPr="00235F9A" w:rsidRDefault="004715C7" w:rsidP="004715C7">
            <w:pPr>
              <w:pStyle w:val="BodyText"/>
              <w:spacing w:before="120" w:after="120"/>
              <w:ind w:left="173"/>
              <w:rPr>
                <w:sz w:val="26"/>
              </w:rPr>
            </w:pPr>
            <w:r w:rsidRPr="00235F9A">
              <w:rPr>
                <w:rFonts w:ascii="Gadugi" w:eastAsia="Gadugi" w:hAnsi="Gadugi" w:cs="Gadugi"/>
                <w:sz w:val="26"/>
                <w:lang w:val="fr-CA" w:bidi="fr-CA"/>
              </w:rPr>
              <w:t>GN</w:t>
            </w:r>
          </w:p>
        </w:tc>
        <w:tc>
          <w:tcPr>
            <w:tcW w:w="6390" w:type="dxa"/>
          </w:tcPr>
          <w:p w14:paraId="026DB189" w14:textId="7B5F29F4" w:rsidR="004715C7" w:rsidRPr="00235F9A" w:rsidRDefault="004715C7" w:rsidP="00FD564D">
            <w:pPr>
              <w:pStyle w:val="BodyText"/>
              <w:spacing w:before="120" w:after="120"/>
              <w:rPr>
                <w:sz w:val="26"/>
              </w:rPr>
            </w:pPr>
            <w:r>
              <w:rPr>
                <w:rFonts w:ascii="Gadugi" w:eastAsia="Gadugi" w:hAnsi="Gadugi" w:cs="Gadugi"/>
                <w:sz w:val="26"/>
                <w:lang w:val="fr-CA" w:bidi="fr-CA"/>
              </w:rPr>
              <w:t>Gouvernement du Nunavut</w:t>
            </w:r>
          </w:p>
        </w:tc>
      </w:tr>
      <w:tr w:rsidR="0053245D" w14:paraId="1F4D9852" w14:textId="1BC855B7" w:rsidTr="003C51FD">
        <w:tc>
          <w:tcPr>
            <w:tcW w:w="2070" w:type="dxa"/>
          </w:tcPr>
          <w:p w14:paraId="093C26EC" w14:textId="45B20F24" w:rsidR="0053245D" w:rsidRPr="00235F9A" w:rsidRDefault="0053245D" w:rsidP="00904806">
            <w:pPr>
              <w:pStyle w:val="BodyText"/>
              <w:spacing w:before="120" w:after="120"/>
              <w:ind w:left="173"/>
              <w:rPr>
                <w:sz w:val="26"/>
              </w:rPr>
            </w:pPr>
            <w:r w:rsidRPr="00235F9A">
              <w:rPr>
                <w:rFonts w:ascii="Gadugi" w:eastAsia="Gadugi" w:hAnsi="Gadugi" w:cs="Gadugi"/>
                <w:sz w:val="26"/>
                <w:lang w:val="fr-CA" w:bidi="fr-CA"/>
              </w:rPr>
              <w:t>RMTG</w:t>
            </w:r>
          </w:p>
        </w:tc>
        <w:tc>
          <w:tcPr>
            <w:tcW w:w="6390" w:type="dxa"/>
          </w:tcPr>
          <w:p w14:paraId="63ADD83D" w14:textId="5AFBB36A" w:rsidR="0053245D" w:rsidRPr="00235F9A" w:rsidRDefault="0053245D" w:rsidP="00904806">
            <w:pPr>
              <w:pStyle w:val="BodyText"/>
              <w:spacing w:before="120" w:after="120"/>
              <w:rPr>
                <w:sz w:val="26"/>
              </w:rPr>
            </w:pPr>
            <w:r w:rsidRPr="00235F9A">
              <w:rPr>
                <w:rFonts w:ascii="Gadugi" w:eastAsia="Gadugi" w:hAnsi="Gadugi" w:cs="Gadugi"/>
                <w:sz w:val="26"/>
                <w:lang w:val="fr-CA" w:bidi="fr-CA"/>
              </w:rPr>
              <w:t>Requête en majoration tarifaire générale</w:t>
            </w:r>
          </w:p>
        </w:tc>
      </w:tr>
      <w:tr w:rsidR="0053245D" w14:paraId="1F68068B" w14:textId="77777777" w:rsidTr="003C51FD">
        <w:tc>
          <w:tcPr>
            <w:tcW w:w="2070" w:type="dxa"/>
          </w:tcPr>
          <w:p w14:paraId="7ED93470" w14:textId="051ED376" w:rsidR="0053245D" w:rsidRPr="00235F9A" w:rsidRDefault="0053245D" w:rsidP="00904806">
            <w:pPr>
              <w:pStyle w:val="BodyText"/>
              <w:spacing w:before="120" w:after="120"/>
              <w:ind w:left="173"/>
              <w:rPr>
                <w:sz w:val="26"/>
              </w:rPr>
            </w:pPr>
            <w:r w:rsidRPr="00235F9A">
              <w:rPr>
                <w:rFonts w:ascii="Gadugi" w:eastAsia="Gadugi" w:hAnsi="Gadugi" w:cs="Gadugi"/>
                <w:sz w:val="26"/>
                <w:lang w:val="fr-CA" w:bidi="fr-CA"/>
              </w:rPr>
              <w:t>TSPC</w:t>
            </w:r>
          </w:p>
        </w:tc>
        <w:tc>
          <w:tcPr>
            <w:tcW w:w="6390" w:type="dxa"/>
          </w:tcPr>
          <w:p w14:paraId="6DBDA4CC" w14:textId="0AA30334" w:rsidR="0053245D" w:rsidRPr="00235F9A" w:rsidRDefault="0053245D" w:rsidP="00904806">
            <w:pPr>
              <w:pStyle w:val="BodyText"/>
              <w:spacing w:before="120" w:after="120"/>
              <w:rPr>
                <w:sz w:val="26"/>
              </w:rPr>
            </w:pPr>
            <w:r w:rsidRPr="00235F9A">
              <w:rPr>
                <w:rFonts w:ascii="Gadugi" w:eastAsia="Gadugi" w:hAnsi="Gadugi" w:cs="Gadugi"/>
                <w:sz w:val="26"/>
                <w:lang w:val="fr-CA" w:bidi="fr-CA"/>
              </w:rPr>
              <w:t>Taux de stabilisation du prix du combustible</w:t>
            </w:r>
          </w:p>
        </w:tc>
      </w:tr>
      <w:tr w:rsidR="00D825DE" w14:paraId="057AF5C5" w14:textId="77777777" w:rsidTr="003C51FD">
        <w:tc>
          <w:tcPr>
            <w:tcW w:w="2070" w:type="dxa"/>
          </w:tcPr>
          <w:p w14:paraId="1D00E1F1" w14:textId="48EB729C" w:rsidR="00D825DE" w:rsidRDefault="00D825DE" w:rsidP="00904806">
            <w:pPr>
              <w:pStyle w:val="BodyText"/>
              <w:spacing w:before="120" w:after="120"/>
              <w:ind w:left="173"/>
              <w:rPr>
                <w:sz w:val="26"/>
              </w:rPr>
            </w:pPr>
            <w:r>
              <w:rPr>
                <w:rFonts w:ascii="Gadugi" w:eastAsia="Gadugi" w:hAnsi="Gadugi" w:cs="Gadugi"/>
                <w:sz w:val="26"/>
                <w:lang w:val="fr-CA" w:bidi="fr-CA"/>
              </w:rPr>
              <w:t>Fonds de SPC</w:t>
            </w:r>
          </w:p>
        </w:tc>
        <w:tc>
          <w:tcPr>
            <w:tcW w:w="6390" w:type="dxa"/>
          </w:tcPr>
          <w:p w14:paraId="45E88D21" w14:textId="44BDCA5D" w:rsidR="00D825DE" w:rsidRDefault="00D825DE" w:rsidP="00904806">
            <w:pPr>
              <w:pStyle w:val="BodyText"/>
              <w:spacing w:before="120" w:after="120"/>
              <w:rPr>
                <w:sz w:val="26"/>
              </w:rPr>
            </w:pPr>
            <w:r>
              <w:rPr>
                <w:rFonts w:ascii="Gadugi" w:eastAsia="Gadugi" w:hAnsi="Gadugi" w:cs="Gadugi"/>
                <w:sz w:val="26"/>
                <w:lang w:val="fr-CA" w:bidi="fr-CA"/>
              </w:rPr>
              <w:t>Fonds de stabilisation du prix du combustible</w:t>
            </w:r>
          </w:p>
        </w:tc>
      </w:tr>
      <w:tr w:rsidR="0053245D" w14:paraId="1CF60F3C" w14:textId="77777777" w:rsidTr="003C51FD">
        <w:tc>
          <w:tcPr>
            <w:tcW w:w="2070" w:type="dxa"/>
          </w:tcPr>
          <w:p w14:paraId="74CFD3A4" w14:textId="2ABE913F" w:rsidR="0053245D" w:rsidRPr="00235F9A" w:rsidRDefault="0053245D" w:rsidP="00904806">
            <w:pPr>
              <w:pStyle w:val="BodyText"/>
              <w:spacing w:before="120" w:after="120"/>
              <w:ind w:left="173"/>
              <w:rPr>
                <w:sz w:val="26"/>
              </w:rPr>
            </w:pPr>
            <w:r>
              <w:rPr>
                <w:rFonts w:ascii="Gadugi" w:eastAsia="Gadugi" w:hAnsi="Gadugi" w:cs="Gadugi"/>
                <w:sz w:val="26"/>
                <w:lang w:val="fr-CA" w:bidi="fr-CA"/>
              </w:rPr>
              <w:t>kWh</w:t>
            </w:r>
          </w:p>
        </w:tc>
        <w:tc>
          <w:tcPr>
            <w:tcW w:w="6390" w:type="dxa"/>
          </w:tcPr>
          <w:p w14:paraId="63F72FEA" w14:textId="6BD6EFEE" w:rsidR="0053245D" w:rsidRPr="00235F9A" w:rsidRDefault="0053245D" w:rsidP="00904806">
            <w:pPr>
              <w:pStyle w:val="BodyText"/>
              <w:spacing w:before="120" w:after="120"/>
              <w:rPr>
                <w:sz w:val="26"/>
              </w:rPr>
            </w:pPr>
            <w:r>
              <w:rPr>
                <w:rFonts w:ascii="Gadugi" w:eastAsia="Gadugi" w:hAnsi="Gadugi" w:cs="Gadugi"/>
                <w:sz w:val="26"/>
                <w:lang w:val="fr-CA" w:bidi="fr-CA"/>
              </w:rPr>
              <w:t>Kilowattheure</w:t>
            </w:r>
          </w:p>
        </w:tc>
      </w:tr>
      <w:tr w:rsidR="00A92998" w14:paraId="6EF07665" w14:textId="77777777" w:rsidTr="00142B83">
        <w:tc>
          <w:tcPr>
            <w:tcW w:w="2070" w:type="dxa"/>
          </w:tcPr>
          <w:p w14:paraId="3FDB5F05" w14:textId="52C060C9" w:rsidR="00A92998" w:rsidRPr="00235F9A" w:rsidRDefault="00A92998" w:rsidP="00142B83">
            <w:pPr>
              <w:pStyle w:val="BodyText"/>
              <w:spacing w:before="120" w:after="120"/>
              <w:ind w:left="173"/>
              <w:rPr>
                <w:sz w:val="26"/>
              </w:rPr>
            </w:pPr>
            <w:r>
              <w:rPr>
                <w:rFonts w:ascii="Gadugi" w:eastAsia="Gadugi" w:hAnsi="Gadugi" w:cs="Gadugi"/>
                <w:sz w:val="26"/>
                <w:lang w:val="fr-CA" w:bidi="fr-CA"/>
              </w:rPr>
              <w:t>NESP</w:t>
            </w:r>
          </w:p>
        </w:tc>
        <w:tc>
          <w:tcPr>
            <w:tcW w:w="6390" w:type="dxa"/>
          </w:tcPr>
          <w:p w14:paraId="5DD9286B" w14:textId="0277C8DF" w:rsidR="00A92998" w:rsidRPr="00235F9A" w:rsidRDefault="00A92998" w:rsidP="00142B83">
            <w:pPr>
              <w:pStyle w:val="BodyText"/>
              <w:spacing w:before="120" w:after="120"/>
              <w:rPr>
                <w:sz w:val="26"/>
              </w:rPr>
            </w:pPr>
            <w:r>
              <w:rPr>
                <w:rFonts w:ascii="Gadugi" w:eastAsia="Gadugi" w:hAnsi="Gadugi" w:cs="Gadugi"/>
                <w:sz w:val="26"/>
                <w:lang w:val="fr-CA" w:bidi="fr-CA"/>
              </w:rPr>
              <w:t>Programme de subvention sur l'électricité du Nunavut</w:t>
            </w:r>
          </w:p>
        </w:tc>
      </w:tr>
      <w:tr w:rsidR="0053245D" w14:paraId="785067E1" w14:textId="7241CF70" w:rsidTr="003C51FD">
        <w:tc>
          <w:tcPr>
            <w:tcW w:w="2070" w:type="dxa"/>
          </w:tcPr>
          <w:p w14:paraId="26B32181" w14:textId="7236CD24" w:rsidR="0053245D" w:rsidRPr="00E811FC" w:rsidRDefault="0053245D" w:rsidP="00904806">
            <w:pPr>
              <w:pStyle w:val="BodyText"/>
              <w:spacing w:before="120" w:after="120"/>
              <w:ind w:left="173"/>
              <w:rPr>
                <w:sz w:val="26"/>
              </w:rPr>
            </w:pPr>
            <w:r w:rsidRPr="00E811FC">
              <w:rPr>
                <w:rFonts w:ascii="Gadugi" w:eastAsia="Gadugi" w:hAnsi="Gadugi" w:cs="Gadugi"/>
                <w:sz w:val="26"/>
                <w:lang w:val="fr-CA" w:bidi="fr-CA"/>
              </w:rPr>
              <w:t>DPP</w:t>
            </w:r>
          </w:p>
        </w:tc>
        <w:tc>
          <w:tcPr>
            <w:tcW w:w="6390" w:type="dxa"/>
          </w:tcPr>
          <w:p w14:paraId="411907E3" w14:textId="1CA44A5F" w:rsidR="0053245D" w:rsidRPr="00E811FC" w:rsidRDefault="0053245D" w:rsidP="0026085B">
            <w:pPr>
              <w:pStyle w:val="BodyText"/>
              <w:spacing w:before="120" w:after="120"/>
              <w:rPr>
                <w:sz w:val="26"/>
              </w:rPr>
            </w:pPr>
            <w:r w:rsidRPr="00E811FC">
              <w:rPr>
                <w:rFonts w:ascii="Gadugi" w:eastAsia="Gadugi" w:hAnsi="Gadugi" w:cs="Gadugi"/>
                <w:sz w:val="26"/>
                <w:lang w:val="fr-CA" w:bidi="fr-CA"/>
              </w:rPr>
              <w:t>Division des Produits pétroliers</w:t>
            </w:r>
          </w:p>
        </w:tc>
      </w:tr>
      <w:tr w:rsidR="0053245D" w14:paraId="36A72625" w14:textId="77777777" w:rsidTr="003C51FD">
        <w:tc>
          <w:tcPr>
            <w:tcW w:w="2070" w:type="dxa"/>
          </w:tcPr>
          <w:p w14:paraId="3FAE0977" w14:textId="422CB601" w:rsidR="0053245D" w:rsidRPr="00E811FC" w:rsidRDefault="0053245D" w:rsidP="00904806">
            <w:pPr>
              <w:pStyle w:val="BodyText"/>
              <w:spacing w:before="120" w:after="120"/>
              <w:ind w:left="173"/>
              <w:rPr>
                <w:sz w:val="26"/>
              </w:rPr>
            </w:pPr>
            <w:r w:rsidRPr="00E811FC">
              <w:rPr>
                <w:rFonts w:ascii="Gadugi" w:eastAsia="Gadugi" w:hAnsi="Gadugi" w:cs="Gadugi"/>
                <w:sz w:val="26"/>
                <w:lang w:val="fr-CA" w:bidi="fr-CA"/>
              </w:rPr>
              <w:t>SÉQ</w:t>
            </w:r>
          </w:p>
        </w:tc>
        <w:tc>
          <w:tcPr>
            <w:tcW w:w="6390" w:type="dxa"/>
          </w:tcPr>
          <w:p w14:paraId="12ADF545" w14:textId="647A75A1" w:rsidR="0053245D" w:rsidRPr="00E811FC" w:rsidRDefault="0053245D" w:rsidP="00904806">
            <w:pPr>
              <w:pStyle w:val="BodyText"/>
              <w:spacing w:before="120" w:after="120"/>
              <w:rPr>
                <w:sz w:val="26"/>
              </w:rPr>
            </w:pPr>
            <w:r w:rsidRPr="009E6849">
              <w:rPr>
                <w:rFonts w:ascii="Gadugi" w:eastAsia="Gadugi" w:hAnsi="Gadugi" w:cs="Gadugi"/>
                <w:sz w:val="26"/>
                <w:lang w:val="fr-CA" w:bidi="fr-CA"/>
              </w:rPr>
              <w:t>Société d’énergie Qulliq</w:t>
            </w:r>
          </w:p>
        </w:tc>
      </w:tr>
      <w:tr w:rsidR="0053245D" w14:paraId="02D9454D" w14:textId="77777777" w:rsidTr="003C51FD">
        <w:tc>
          <w:tcPr>
            <w:tcW w:w="2070" w:type="dxa"/>
          </w:tcPr>
          <w:p w14:paraId="456F1742" w14:textId="48FF806C" w:rsidR="0053245D" w:rsidRPr="00E811FC" w:rsidRDefault="0053245D" w:rsidP="00904806">
            <w:pPr>
              <w:pStyle w:val="BodyText"/>
              <w:spacing w:before="120" w:after="120"/>
              <w:ind w:left="173"/>
              <w:rPr>
                <w:sz w:val="26"/>
              </w:rPr>
            </w:pPr>
            <w:r w:rsidRPr="00E811FC">
              <w:rPr>
                <w:rFonts w:ascii="Gadugi" w:eastAsia="Gadugi" w:hAnsi="Gadugi" w:cs="Gadugi"/>
                <w:sz w:val="26"/>
                <w:lang w:val="fr-CA" w:bidi="fr-CA"/>
              </w:rPr>
              <w:t>AAP</w:t>
            </w:r>
          </w:p>
        </w:tc>
        <w:tc>
          <w:tcPr>
            <w:tcW w:w="6390" w:type="dxa"/>
          </w:tcPr>
          <w:p w14:paraId="51DC1332" w14:textId="0CEE8E66" w:rsidR="0053245D" w:rsidRPr="00E811FC" w:rsidRDefault="0053245D" w:rsidP="00904806">
            <w:pPr>
              <w:pStyle w:val="BodyText"/>
              <w:spacing w:before="120" w:after="120"/>
              <w:rPr>
                <w:sz w:val="26"/>
              </w:rPr>
            </w:pPr>
            <w:r w:rsidRPr="00E811FC">
              <w:rPr>
                <w:rFonts w:ascii="Gadugi" w:eastAsia="Gadugi" w:hAnsi="Gadugi" w:cs="Gadugi"/>
                <w:sz w:val="26"/>
                <w:lang w:val="fr-CA" w:bidi="fr-CA"/>
              </w:rPr>
              <w:t>Agente ou agent administratif principal</w:t>
            </w:r>
          </w:p>
        </w:tc>
      </w:tr>
      <w:tr w:rsidR="0053245D" w14:paraId="2C81A6A8" w14:textId="77777777" w:rsidTr="003C51FD">
        <w:tc>
          <w:tcPr>
            <w:tcW w:w="2070" w:type="dxa"/>
          </w:tcPr>
          <w:p w14:paraId="6444502B" w14:textId="36D98665" w:rsidR="0053245D" w:rsidRPr="00E811FC" w:rsidRDefault="0053245D" w:rsidP="00904806">
            <w:pPr>
              <w:pStyle w:val="BodyText"/>
              <w:spacing w:before="120" w:after="120"/>
              <w:ind w:left="173"/>
              <w:rPr>
                <w:sz w:val="26"/>
              </w:rPr>
            </w:pPr>
            <w:r w:rsidRPr="00E811FC">
              <w:rPr>
                <w:rFonts w:ascii="Gadugi" w:eastAsia="Gadugi" w:hAnsi="Gadugi" w:cs="Gadugi"/>
                <w:sz w:val="26"/>
                <w:lang w:val="fr-CA" w:bidi="fr-CA"/>
              </w:rPr>
              <w:t>CETES</w:t>
            </w:r>
          </w:p>
        </w:tc>
        <w:tc>
          <w:tcPr>
            <w:tcW w:w="6390" w:type="dxa"/>
          </w:tcPr>
          <w:p w14:paraId="2BC4807B" w14:textId="52059207" w:rsidR="0053245D" w:rsidRPr="00E811FC" w:rsidRDefault="0053245D" w:rsidP="00904806">
            <w:pPr>
              <w:pStyle w:val="BodyText"/>
              <w:spacing w:before="120" w:after="120"/>
              <w:rPr>
                <w:sz w:val="26"/>
              </w:rPr>
            </w:pPr>
            <w:r w:rsidRPr="00E811FC">
              <w:rPr>
                <w:rFonts w:ascii="Gadugi" w:eastAsia="Gadugi" w:hAnsi="Gadugi" w:cs="Gadugi"/>
                <w:sz w:val="26"/>
                <w:lang w:val="fr-CA" w:bidi="fr-CA"/>
              </w:rPr>
              <w:t>Conseil d’examen des taux des entreprises de service</w:t>
            </w:r>
          </w:p>
        </w:tc>
      </w:tr>
      <w:tr w:rsidR="0053245D" w14:paraId="0351DD53" w14:textId="77777777" w:rsidTr="003C51FD">
        <w:tc>
          <w:tcPr>
            <w:tcW w:w="2070" w:type="dxa"/>
          </w:tcPr>
          <w:p w14:paraId="1E278347" w14:textId="3ABFFF5E" w:rsidR="0053245D" w:rsidRPr="00E811FC" w:rsidRDefault="0053245D" w:rsidP="00904806">
            <w:pPr>
              <w:pStyle w:val="BodyText"/>
              <w:spacing w:before="120" w:after="120"/>
              <w:ind w:left="173"/>
              <w:rPr>
                <w:sz w:val="26"/>
              </w:rPr>
            </w:pPr>
            <w:r w:rsidRPr="009A35CC">
              <w:rPr>
                <w:rFonts w:ascii="Gadugi" w:eastAsia="Gadugi" w:hAnsi="Gadugi" w:cs="Gadugi"/>
                <w:sz w:val="26"/>
                <w:lang w:val="fr-CA" w:bidi="fr-CA"/>
              </w:rPr>
              <w:t>Loi sur le CETES</w:t>
            </w:r>
          </w:p>
        </w:tc>
        <w:tc>
          <w:tcPr>
            <w:tcW w:w="6390" w:type="dxa"/>
          </w:tcPr>
          <w:p w14:paraId="6CE4099E" w14:textId="72B49768" w:rsidR="0053245D" w:rsidRPr="00E811FC" w:rsidRDefault="0053245D" w:rsidP="00904806">
            <w:pPr>
              <w:pStyle w:val="BodyText"/>
              <w:spacing w:before="120" w:after="120"/>
              <w:rPr>
                <w:sz w:val="26"/>
              </w:rPr>
            </w:pPr>
            <w:r w:rsidRPr="002F073F">
              <w:rPr>
                <w:rFonts w:ascii="Gadugi" w:eastAsia="Gadugi" w:hAnsi="Gadugi" w:cs="Gadugi"/>
                <w:i/>
                <w:sz w:val="26"/>
                <w:lang w:val="fr-CA" w:bidi="fr-CA"/>
              </w:rPr>
              <w:t>Loi sur le conseil d’examen des taux des entreprises de service</w:t>
            </w:r>
          </w:p>
        </w:tc>
      </w:tr>
      <w:tr w:rsidR="0053245D" w14:paraId="0CE846F6" w14:textId="77777777" w:rsidTr="003C51FD">
        <w:tc>
          <w:tcPr>
            <w:tcW w:w="2070" w:type="dxa"/>
          </w:tcPr>
          <w:p w14:paraId="35719137" w14:textId="15215DF4" w:rsidR="0053245D" w:rsidRPr="00E811FC" w:rsidRDefault="0053245D" w:rsidP="00C70E1E">
            <w:pPr>
              <w:pStyle w:val="BodyText"/>
              <w:spacing w:before="120" w:after="120"/>
              <w:ind w:left="173"/>
              <w:rPr>
                <w:sz w:val="26"/>
              </w:rPr>
            </w:pPr>
          </w:p>
        </w:tc>
        <w:tc>
          <w:tcPr>
            <w:tcW w:w="6390" w:type="dxa"/>
          </w:tcPr>
          <w:p w14:paraId="60DCAD11" w14:textId="3C1E2625" w:rsidR="0053245D" w:rsidRPr="00E811FC" w:rsidRDefault="0053245D" w:rsidP="00C70E1E">
            <w:pPr>
              <w:pStyle w:val="BodyText"/>
              <w:spacing w:before="120" w:after="120"/>
              <w:rPr>
                <w:sz w:val="26"/>
              </w:rPr>
            </w:pPr>
          </w:p>
        </w:tc>
      </w:tr>
    </w:tbl>
    <w:p w14:paraId="22A1639C" w14:textId="77777777" w:rsidR="00EB459A" w:rsidRDefault="00EB459A">
      <w:pPr>
        <w:pStyle w:val="BodyText"/>
        <w:rPr>
          <w:b/>
          <w:sz w:val="26"/>
        </w:rPr>
      </w:pPr>
    </w:p>
    <w:p w14:paraId="2D9D6A67" w14:textId="77777777" w:rsidR="00A37080" w:rsidRDefault="00A37080" w:rsidP="00A37080">
      <w:pPr>
        <w:pStyle w:val="BodyText"/>
      </w:pPr>
    </w:p>
    <w:p w14:paraId="56EBA0A1" w14:textId="77777777" w:rsidR="00EB459A" w:rsidRDefault="00EB459A">
      <w:pPr>
        <w:spacing w:line="480" w:lineRule="auto"/>
        <w:sectPr w:rsidR="00EB459A">
          <w:footerReference w:type="default" r:id="rId13"/>
          <w:pgSz w:w="12240" w:h="15840"/>
          <w:pgMar w:top="1500" w:right="940" w:bottom="280" w:left="1320" w:header="720" w:footer="720" w:gutter="0"/>
          <w:cols w:space="720"/>
        </w:sectPr>
      </w:pPr>
    </w:p>
    <w:p w14:paraId="287E12D6" w14:textId="29BE6150" w:rsidR="00EB459A" w:rsidRDefault="00145822">
      <w:pPr>
        <w:pStyle w:val="Heading1"/>
        <w:spacing w:before="60"/>
        <w:ind w:right="377"/>
        <w:rPr>
          <w:rFonts w:ascii="Times New Roman"/>
          <w:sz w:val="24"/>
          <w:szCs w:val="24"/>
        </w:rPr>
      </w:pPr>
      <w:hyperlink w:anchor="_bookmark0" w:history="1">
        <w:r w:rsidR="00632157" w:rsidRPr="009A35CC">
          <w:rPr>
            <w:rFonts w:ascii="Gadugi" w:eastAsia="Gadugi" w:hAnsi="Gadugi" w:cs="Gadugi"/>
            <w:sz w:val="24"/>
            <w:lang w:val="fr-CA" w:bidi="fr-CA"/>
          </w:rPr>
          <w:t>TABLE DES MATIÈRES</w:t>
        </w:r>
      </w:hyperlink>
    </w:p>
    <w:p w14:paraId="07A80751" w14:textId="6DA13A9C" w:rsidR="00C0030A" w:rsidRDefault="00C0030A">
      <w:pPr>
        <w:pStyle w:val="Heading1"/>
        <w:spacing w:before="60"/>
        <w:ind w:right="377"/>
        <w:rPr>
          <w:rFonts w:ascii="Times New Roman"/>
          <w:sz w:val="24"/>
          <w:szCs w:val="24"/>
        </w:rPr>
      </w:pPr>
    </w:p>
    <w:p w14:paraId="55D18E10" w14:textId="77777777" w:rsidR="00172A40" w:rsidRDefault="00C0030A">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r>
        <w:rPr>
          <w:rFonts w:ascii="Gadugi" w:eastAsia="Gadugi" w:hAnsi="Gadugi" w:cs="Gadugi"/>
          <w:b w:val="0"/>
          <w:lang w:val="fr-CA" w:bidi="fr-CA"/>
        </w:rPr>
        <w:fldChar w:fldCharType="begin"/>
      </w:r>
      <w:r>
        <w:rPr>
          <w:rFonts w:ascii="Gadugi" w:eastAsia="Gadugi" w:hAnsi="Gadugi" w:cs="Gadugi"/>
          <w:lang w:val="fr-CA" w:bidi="fr-CA"/>
        </w:rPr>
        <w:instrText xml:space="preserve"> TOC \h \z \t "URRC_Heading 1,1,URRC_Heading 2,2" </w:instrText>
      </w:r>
      <w:r>
        <w:rPr>
          <w:rFonts w:ascii="Gadugi" w:eastAsia="Gadugi" w:hAnsi="Gadugi" w:cs="Gadugi"/>
          <w:b w:val="0"/>
          <w:lang w:val="fr-CA" w:bidi="fr-CA"/>
        </w:rPr>
        <w:fldChar w:fldCharType="separate"/>
      </w:r>
      <w:hyperlink w:anchor="_Toc136935852" w:history="1">
        <w:r w:rsidR="00172A40" w:rsidRPr="00544E5B">
          <w:rPr>
            <w:rStyle w:val="Hyperlink"/>
            <w:rFonts w:ascii="Gadugi" w:eastAsia="Gadugi" w:hAnsi="Gadugi" w:cs="Gadugi"/>
            <w:noProof/>
            <w:lang w:val="fr-CA" w:bidi="fr-CA"/>
          </w:rPr>
          <w:t>1.0</w:t>
        </w:r>
        <w:r w:rsidR="00172A40">
          <w:rPr>
            <w:rFonts w:ascii="Gadugi" w:eastAsia="Gadugi" w:hAnsi="Gadugi" w:cs="Gadugi"/>
            <w:b w:val="0"/>
            <w:caps w:val="0"/>
            <w:noProof/>
            <w:sz w:val="22"/>
            <w:lang w:val="fr-CA" w:bidi="fr-CA"/>
          </w:rPr>
          <w:tab/>
        </w:r>
        <w:r w:rsidR="00172A40" w:rsidRPr="00544E5B">
          <w:rPr>
            <w:rStyle w:val="Hyperlink"/>
            <w:rFonts w:ascii="Gadugi" w:eastAsia="Gadugi" w:hAnsi="Gadugi" w:cs="Gadugi"/>
            <w:noProof/>
            <w:lang w:val="fr-CA" w:bidi="fr-CA"/>
          </w:rPr>
          <w:t>The APPLICATION</w:t>
        </w:r>
        <w:r w:rsidR="00172A40">
          <w:rPr>
            <w:rFonts w:ascii="Gadugi" w:eastAsia="Gadugi" w:hAnsi="Gadugi" w:cs="Gadugi"/>
            <w:noProof/>
            <w:webHidden/>
            <w:lang w:val="fr-CA" w:bidi="fr-CA"/>
          </w:rPr>
          <w:tab/>
        </w:r>
        <w:r w:rsidR="00172A40">
          <w:rPr>
            <w:rFonts w:ascii="Gadugi" w:eastAsia="Gadugi" w:hAnsi="Gadugi" w:cs="Gadugi"/>
            <w:noProof/>
            <w:webHidden/>
            <w:lang w:val="fr-CA" w:bidi="fr-CA"/>
          </w:rPr>
          <w:fldChar w:fldCharType="begin"/>
        </w:r>
        <w:r w:rsidR="00172A40">
          <w:rPr>
            <w:rFonts w:ascii="Gadugi" w:eastAsia="Gadugi" w:hAnsi="Gadugi" w:cs="Gadugi"/>
            <w:noProof/>
            <w:webHidden/>
            <w:lang w:val="fr-CA" w:bidi="fr-CA"/>
          </w:rPr>
          <w:instrText xml:space="preserve"> PAGEREF _Toc136935852 \h </w:instrText>
        </w:r>
        <w:r w:rsidR="00172A40">
          <w:rPr>
            <w:rFonts w:ascii="Gadugi" w:eastAsia="Gadugi" w:hAnsi="Gadugi" w:cs="Gadugi"/>
            <w:noProof/>
            <w:webHidden/>
            <w:lang w:val="fr-CA" w:bidi="fr-CA"/>
          </w:rPr>
        </w:r>
        <w:r w:rsidR="00172A40">
          <w:rPr>
            <w:rFonts w:ascii="Gadugi" w:eastAsia="Gadugi" w:hAnsi="Gadugi" w:cs="Gadugi"/>
            <w:noProof/>
            <w:webHidden/>
            <w:lang w:val="fr-CA" w:bidi="fr-CA"/>
          </w:rPr>
          <w:fldChar w:fldCharType="separate"/>
        </w:r>
        <w:r w:rsidR="00172A40">
          <w:rPr>
            <w:rFonts w:ascii="Gadugi" w:eastAsia="Gadugi" w:hAnsi="Gadugi" w:cs="Gadugi"/>
            <w:noProof/>
            <w:webHidden/>
            <w:lang w:val="fr-CA" w:bidi="fr-CA"/>
          </w:rPr>
          <w:t>1</w:t>
        </w:r>
        <w:r w:rsidR="00172A40">
          <w:rPr>
            <w:rFonts w:ascii="Gadugi" w:eastAsia="Gadugi" w:hAnsi="Gadugi" w:cs="Gadugi"/>
            <w:noProof/>
            <w:webHidden/>
            <w:lang w:val="fr-CA" w:bidi="fr-CA"/>
          </w:rPr>
          <w:fldChar w:fldCharType="end"/>
        </w:r>
      </w:hyperlink>
    </w:p>
    <w:p w14:paraId="6343EC94" w14:textId="77777777" w:rsidR="00172A40" w:rsidRDefault="00145822">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3" w:history="1">
        <w:r w:rsidR="00172A40" w:rsidRPr="00544E5B">
          <w:rPr>
            <w:rStyle w:val="Hyperlink"/>
            <w:rFonts w:ascii="Gadugi" w:eastAsia="Gadugi" w:hAnsi="Gadugi" w:cs="Gadugi"/>
            <w:noProof/>
            <w:lang w:val="fr-CA" w:bidi="fr-CA"/>
          </w:rPr>
          <w:t>2.0</w:t>
        </w:r>
        <w:r w:rsidR="00172A40">
          <w:rPr>
            <w:rFonts w:ascii="Gadugi" w:eastAsia="Gadugi" w:hAnsi="Gadugi" w:cs="Gadugi"/>
            <w:b w:val="0"/>
            <w:caps w:val="0"/>
            <w:noProof/>
            <w:sz w:val="22"/>
            <w:lang w:val="fr-CA" w:bidi="fr-CA"/>
          </w:rPr>
          <w:tab/>
        </w:r>
        <w:r w:rsidR="00172A40" w:rsidRPr="00544E5B">
          <w:rPr>
            <w:rStyle w:val="Hyperlink"/>
            <w:rFonts w:ascii="Gadugi" w:eastAsia="Gadugi" w:hAnsi="Gadugi" w:cs="Gadugi"/>
            <w:noProof/>
            <w:lang w:val="fr-CA" w:bidi="fr-CA"/>
          </w:rPr>
          <w:t>BACKGROUND</w:t>
        </w:r>
        <w:r w:rsidR="00172A40">
          <w:rPr>
            <w:rFonts w:ascii="Gadugi" w:eastAsia="Gadugi" w:hAnsi="Gadugi" w:cs="Gadugi"/>
            <w:noProof/>
            <w:webHidden/>
            <w:lang w:val="fr-CA" w:bidi="fr-CA"/>
          </w:rPr>
          <w:tab/>
        </w:r>
        <w:r w:rsidR="00172A40">
          <w:rPr>
            <w:rFonts w:ascii="Gadugi" w:eastAsia="Gadugi" w:hAnsi="Gadugi" w:cs="Gadugi"/>
            <w:noProof/>
            <w:webHidden/>
            <w:lang w:val="fr-CA" w:bidi="fr-CA"/>
          </w:rPr>
          <w:fldChar w:fldCharType="begin"/>
        </w:r>
        <w:r w:rsidR="00172A40">
          <w:rPr>
            <w:rFonts w:ascii="Gadugi" w:eastAsia="Gadugi" w:hAnsi="Gadugi" w:cs="Gadugi"/>
            <w:noProof/>
            <w:webHidden/>
            <w:lang w:val="fr-CA" w:bidi="fr-CA"/>
          </w:rPr>
          <w:instrText xml:space="preserve"> PAGEREF _Toc136935853 \h </w:instrText>
        </w:r>
        <w:r w:rsidR="00172A40">
          <w:rPr>
            <w:rFonts w:ascii="Gadugi" w:eastAsia="Gadugi" w:hAnsi="Gadugi" w:cs="Gadugi"/>
            <w:noProof/>
            <w:webHidden/>
            <w:lang w:val="fr-CA" w:bidi="fr-CA"/>
          </w:rPr>
        </w:r>
        <w:r w:rsidR="00172A40">
          <w:rPr>
            <w:rFonts w:ascii="Gadugi" w:eastAsia="Gadugi" w:hAnsi="Gadugi" w:cs="Gadugi"/>
            <w:noProof/>
            <w:webHidden/>
            <w:lang w:val="fr-CA" w:bidi="fr-CA"/>
          </w:rPr>
          <w:fldChar w:fldCharType="separate"/>
        </w:r>
        <w:r w:rsidR="00172A40">
          <w:rPr>
            <w:rFonts w:ascii="Gadugi" w:eastAsia="Gadugi" w:hAnsi="Gadugi" w:cs="Gadugi"/>
            <w:noProof/>
            <w:webHidden/>
            <w:lang w:val="fr-CA" w:bidi="fr-CA"/>
          </w:rPr>
          <w:t>1</w:t>
        </w:r>
        <w:r w:rsidR="00172A40">
          <w:rPr>
            <w:rFonts w:ascii="Gadugi" w:eastAsia="Gadugi" w:hAnsi="Gadugi" w:cs="Gadugi"/>
            <w:noProof/>
            <w:webHidden/>
            <w:lang w:val="fr-CA" w:bidi="fr-CA"/>
          </w:rPr>
          <w:fldChar w:fldCharType="end"/>
        </w:r>
      </w:hyperlink>
    </w:p>
    <w:p w14:paraId="3FD7D1C4" w14:textId="77777777" w:rsidR="00172A40" w:rsidRDefault="00145822">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4" w:history="1">
        <w:r w:rsidR="00172A40" w:rsidRPr="00544E5B">
          <w:rPr>
            <w:rStyle w:val="Hyperlink"/>
            <w:rFonts w:ascii="Gadugi" w:eastAsia="Gadugi" w:hAnsi="Gadugi" w:cs="Gadugi"/>
            <w:noProof/>
            <w:lang w:val="fr-CA" w:bidi="fr-CA"/>
          </w:rPr>
          <w:t>3.0</w:t>
        </w:r>
        <w:r w:rsidR="00172A40">
          <w:rPr>
            <w:rFonts w:ascii="Gadugi" w:eastAsia="Gadugi" w:hAnsi="Gadugi" w:cs="Gadugi"/>
            <w:b w:val="0"/>
            <w:caps w:val="0"/>
            <w:noProof/>
            <w:sz w:val="22"/>
            <w:lang w:val="fr-CA" w:bidi="fr-CA"/>
          </w:rPr>
          <w:tab/>
        </w:r>
        <w:r w:rsidR="00172A40" w:rsidRPr="00544E5B">
          <w:rPr>
            <w:rStyle w:val="Hyperlink"/>
            <w:rFonts w:ascii="Gadugi" w:eastAsia="Gadugi" w:hAnsi="Gadugi" w:cs="Gadugi"/>
            <w:noProof/>
            <w:lang w:val="fr-CA" w:bidi="fr-CA"/>
          </w:rPr>
          <w:t>PROCESS</w:t>
        </w:r>
        <w:r w:rsidR="00172A40">
          <w:rPr>
            <w:rFonts w:ascii="Gadugi" w:eastAsia="Gadugi" w:hAnsi="Gadugi" w:cs="Gadugi"/>
            <w:noProof/>
            <w:webHidden/>
            <w:lang w:val="fr-CA" w:bidi="fr-CA"/>
          </w:rPr>
          <w:tab/>
        </w:r>
        <w:r w:rsidR="00172A40">
          <w:rPr>
            <w:rFonts w:ascii="Gadugi" w:eastAsia="Gadugi" w:hAnsi="Gadugi" w:cs="Gadugi"/>
            <w:noProof/>
            <w:webHidden/>
            <w:lang w:val="fr-CA" w:bidi="fr-CA"/>
          </w:rPr>
          <w:fldChar w:fldCharType="begin"/>
        </w:r>
        <w:r w:rsidR="00172A40">
          <w:rPr>
            <w:rFonts w:ascii="Gadugi" w:eastAsia="Gadugi" w:hAnsi="Gadugi" w:cs="Gadugi"/>
            <w:noProof/>
            <w:webHidden/>
            <w:lang w:val="fr-CA" w:bidi="fr-CA"/>
          </w:rPr>
          <w:instrText xml:space="preserve"> PAGEREF _Toc136935854 \h </w:instrText>
        </w:r>
        <w:r w:rsidR="00172A40">
          <w:rPr>
            <w:rFonts w:ascii="Gadugi" w:eastAsia="Gadugi" w:hAnsi="Gadugi" w:cs="Gadugi"/>
            <w:noProof/>
            <w:webHidden/>
            <w:lang w:val="fr-CA" w:bidi="fr-CA"/>
          </w:rPr>
        </w:r>
        <w:r w:rsidR="00172A40">
          <w:rPr>
            <w:rFonts w:ascii="Gadugi" w:eastAsia="Gadugi" w:hAnsi="Gadugi" w:cs="Gadugi"/>
            <w:noProof/>
            <w:webHidden/>
            <w:lang w:val="fr-CA" w:bidi="fr-CA"/>
          </w:rPr>
          <w:fldChar w:fldCharType="separate"/>
        </w:r>
        <w:r w:rsidR="00172A40">
          <w:rPr>
            <w:rFonts w:ascii="Gadugi" w:eastAsia="Gadugi" w:hAnsi="Gadugi" w:cs="Gadugi"/>
            <w:noProof/>
            <w:webHidden/>
            <w:lang w:val="fr-CA" w:bidi="fr-CA"/>
          </w:rPr>
          <w:t>3</w:t>
        </w:r>
        <w:r w:rsidR="00172A40">
          <w:rPr>
            <w:rFonts w:ascii="Gadugi" w:eastAsia="Gadugi" w:hAnsi="Gadugi" w:cs="Gadugi"/>
            <w:noProof/>
            <w:webHidden/>
            <w:lang w:val="fr-CA" w:bidi="fr-CA"/>
          </w:rPr>
          <w:fldChar w:fldCharType="end"/>
        </w:r>
      </w:hyperlink>
    </w:p>
    <w:p w14:paraId="55972A89" w14:textId="77777777" w:rsidR="00172A40" w:rsidRDefault="00145822">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5" w:history="1">
        <w:r w:rsidR="00172A40" w:rsidRPr="00544E5B">
          <w:rPr>
            <w:rStyle w:val="Hyperlink"/>
            <w:rFonts w:ascii="Gadugi" w:eastAsia="Gadugi" w:hAnsi="Gadugi" w:cs="Gadugi"/>
            <w:noProof/>
            <w:lang w:val="fr-CA" w:bidi="fr-CA"/>
          </w:rPr>
          <w:t>4.0</w:t>
        </w:r>
        <w:r w:rsidR="00172A40">
          <w:rPr>
            <w:rFonts w:ascii="Gadugi" w:eastAsia="Gadugi" w:hAnsi="Gadugi" w:cs="Gadugi"/>
            <w:b w:val="0"/>
            <w:caps w:val="0"/>
            <w:noProof/>
            <w:sz w:val="22"/>
            <w:lang w:val="fr-CA" w:bidi="fr-CA"/>
          </w:rPr>
          <w:tab/>
        </w:r>
        <w:r w:rsidR="00172A40" w:rsidRPr="00544E5B">
          <w:rPr>
            <w:rStyle w:val="Hyperlink"/>
            <w:rFonts w:ascii="Gadugi" w:eastAsia="Gadugi" w:hAnsi="Gadugi" w:cs="Gadugi"/>
            <w:noProof/>
            <w:lang w:val="fr-CA" w:bidi="fr-CA"/>
          </w:rPr>
          <w:t>CONSIDERATION OF THE APPLICATION</w:t>
        </w:r>
        <w:r w:rsidR="00172A40">
          <w:rPr>
            <w:rFonts w:ascii="Gadugi" w:eastAsia="Gadugi" w:hAnsi="Gadugi" w:cs="Gadugi"/>
            <w:noProof/>
            <w:webHidden/>
            <w:lang w:val="fr-CA" w:bidi="fr-CA"/>
          </w:rPr>
          <w:tab/>
        </w:r>
        <w:r w:rsidR="00172A40">
          <w:rPr>
            <w:rFonts w:ascii="Gadugi" w:eastAsia="Gadugi" w:hAnsi="Gadugi" w:cs="Gadugi"/>
            <w:noProof/>
            <w:webHidden/>
            <w:lang w:val="fr-CA" w:bidi="fr-CA"/>
          </w:rPr>
          <w:fldChar w:fldCharType="begin"/>
        </w:r>
        <w:r w:rsidR="00172A40">
          <w:rPr>
            <w:rFonts w:ascii="Gadugi" w:eastAsia="Gadugi" w:hAnsi="Gadugi" w:cs="Gadugi"/>
            <w:noProof/>
            <w:webHidden/>
            <w:lang w:val="fr-CA" w:bidi="fr-CA"/>
          </w:rPr>
          <w:instrText xml:space="preserve"> PAGEREF _Toc136935855 \h </w:instrText>
        </w:r>
        <w:r w:rsidR="00172A40">
          <w:rPr>
            <w:rFonts w:ascii="Gadugi" w:eastAsia="Gadugi" w:hAnsi="Gadugi" w:cs="Gadugi"/>
            <w:noProof/>
            <w:webHidden/>
            <w:lang w:val="fr-CA" w:bidi="fr-CA"/>
          </w:rPr>
        </w:r>
        <w:r w:rsidR="00172A40">
          <w:rPr>
            <w:rFonts w:ascii="Gadugi" w:eastAsia="Gadugi" w:hAnsi="Gadugi" w:cs="Gadugi"/>
            <w:noProof/>
            <w:webHidden/>
            <w:lang w:val="fr-CA" w:bidi="fr-CA"/>
          </w:rPr>
          <w:fldChar w:fldCharType="separate"/>
        </w:r>
        <w:r w:rsidR="00172A40">
          <w:rPr>
            <w:rFonts w:ascii="Gadugi" w:eastAsia="Gadugi" w:hAnsi="Gadugi" w:cs="Gadugi"/>
            <w:noProof/>
            <w:webHidden/>
            <w:lang w:val="fr-CA" w:bidi="fr-CA"/>
          </w:rPr>
          <w:t>4</w:t>
        </w:r>
        <w:r w:rsidR="00172A40">
          <w:rPr>
            <w:rFonts w:ascii="Gadugi" w:eastAsia="Gadugi" w:hAnsi="Gadugi" w:cs="Gadugi"/>
            <w:noProof/>
            <w:webHidden/>
            <w:lang w:val="fr-CA" w:bidi="fr-CA"/>
          </w:rPr>
          <w:fldChar w:fldCharType="end"/>
        </w:r>
      </w:hyperlink>
    </w:p>
    <w:p w14:paraId="2347BDE9" w14:textId="77777777" w:rsidR="00172A40" w:rsidRDefault="00145822">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6" w:history="1">
        <w:r w:rsidR="00172A40" w:rsidRPr="00544E5B">
          <w:rPr>
            <w:rStyle w:val="Hyperlink"/>
            <w:rFonts w:ascii="Gadugi" w:eastAsia="Gadugi" w:hAnsi="Gadugi" w:cs="Gadugi"/>
            <w:noProof/>
            <w:lang w:val="fr-CA" w:bidi="fr-CA"/>
          </w:rPr>
          <w:t>5.0</w:t>
        </w:r>
        <w:r w:rsidR="00172A40">
          <w:rPr>
            <w:rFonts w:ascii="Gadugi" w:eastAsia="Gadugi" w:hAnsi="Gadugi" w:cs="Gadugi"/>
            <w:b w:val="0"/>
            <w:caps w:val="0"/>
            <w:noProof/>
            <w:sz w:val="22"/>
            <w:lang w:val="fr-CA" w:bidi="fr-CA"/>
          </w:rPr>
          <w:tab/>
        </w:r>
        <w:r w:rsidR="00172A40" w:rsidRPr="00544E5B">
          <w:rPr>
            <w:rStyle w:val="Hyperlink"/>
            <w:rFonts w:ascii="Gadugi" w:eastAsia="Gadugi" w:hAnsi="Gadugi" w:cs="Gadugi"/>
            <w:noProof/>
            <w:lang w:val="fr-CA" w:bidi="fr-CA"/>
          </w:rPr>
          <w:t>URRC RECOMMENDATIONS</w:t>
        </w:r>
        <w:r w:rsidR="00172A40">
          <w:rPr>
            <w:rFonts w:ascii="Gadugi" w:eastAsia="Gadugi" w:hAnsi="Gadugi" w:cs="Gadugi"/>
            <w:noProof/>
            <w:webHidden/>
            <w:lang w:val="fr-CA" w:bidi="fr-CA"/>
          </w:rPr>
          <w:tab/>
        </w:r>
        <w:r w:rsidR="00172A40">
          <w:rPr>
            <w:rFonts w:ascii="Gadugi" w:eastAsia="Gadugi" w:hAnsi="Gadugi" w:cs="Gadugi"/>
            <w:noProof/>
            <w:webHidden/>
            <w:lang w:val="fr-CA" w:bidi="fr-CA"/>
          </w:rPr>
          <w:fldChar w:fldCharType="begin"/>
        </w:r>
        <w:r w:rsidR="00172A40">
          <w:rPr>
            <w:rFonts w:ascii="Gadugi" w:eastAsia="Gadugi" w:hAnsi="Gadugi" w:cs="Gadugi"/>
            <w:noProof/>
            <w:webHidden/>
            <w:lang w:val="fr-CA" w:bidi="fr-CA"/>
          </w:rPr>
          <w:instrText xml:space="preserve"> PAGEREF _Toc136935856 \h </w:instrText>
        </w:r>
        <w:r w:rsidR="00172A40">
          <w:rPr>
            <w:rFonts w:ascii="Gadugi" w:eastAsia="Gadugi" w:hAnsi="Gadugi" w:cs="Gadugi"/>
            <w:noProof/>
            <w:webHidden/>
            <w:lang w:val="fr-CA" w:bidi="fr-CA"/>
          </w:rPr>
        </w:r>
        <w:r w:rsidR="00172A40">
          <w:rPr>
            <w:rFonts w:ascii="Gadugi" w:eastAsia="Gadugi" w:hAnsi="Gadugi" w:cs="Gadugi"/>
            <w:noProof/>
            <w:webHidden/>
            <w:lang w:val="fr-CA" w:bidi="fr-CA"/>
          </w:rPr>
          <w:fldChar w:fldCharType="separate"/>
        </w:r>
        <w:r w:rsidR="00172A40">
          <w:rPr>
            <w:rFonts w:ascii="Gadugi" w:eastAsia="Gadugi" w:hAnsi="Gadugi" w:cs="Gadugi"/>
            <w:noProof/>
            <w:webHidden/>
            <w:lang w:val="fr-CA" w:bidi="fr-CA"/>
          </w:rPr>
          <w:t>7</w:t>
        </w:r>
        <w:r w:rsidR="00172A40">
          <w:rPr>
            <w:rFonts w:ascii="Gadugi" w:eastAsia="Gadugi" w:hAnsi="Gadugi" w:cs="Gadugi"/>
            <w:noProof/>
            <w:webHidden/>
            <w:lang w:val="fr-CA" w:bidi="fr-CA"/>
          </w:rPr>
          <w:fldChar w:fldCharType="end"/>
        </w:r>
      </w:hyperlink>
    </w:p>
    <w:p w14:paraId="5D52750C" w14:textId="53AE75E1" w:rsidR="00C0030A" w:rsidRDefault="00C0030A" w:rsidP="00C0030A">
      <w:pPr>
        <w:pStyle w:val="Heading1"/>
        <w:spacing w:before="60"/>
        <w:ind w:right="377"/>
        <w:rPr>
          <w:b w:val="0"/>
          <w:sz w:val="24"/>
          <w:szCs w:val="24"/>
        </w:rPr>
      </w:pPr>
      <w:r>
        <w:rPr>
          <w:rFonts w:ascii="Gadugi" w:eastAsia="Gadugi" w:hAnsi="Gadugi" w:cs="Gadugi"/>
          <w:b w:val="0"/>
          <w:sz w:val="24"/>
          <w:lang w:val="fr-CA" w:bidi="fr-CA"/>
        </w:rPr>
        <w:fldChar w:fldCharType="end"/>
      </w:r>
    </w:p>
    <w:p w14:paraId="5FC67646" w14:textId="5BD9EBF1" w:rsidR="00292A95" w:rsidRDefault="00292A95">
      <w:pPr>
        <w:pStyle w:val="TOC2"/>
        <w:tabs>
          <w:tab w:val="left" w:pos="839"/>
          <w:tab w:val="left" w:leader="dot" w:pos="9359"/>
        </w:tabs>
      </w:pPr>
    </w:p>
    <w:p w14:paraId="6695E233" w14:textId="2F654A23" w:rsidR="00EB459A" w:rsidRDefault="00EB459A">
      <w:pPr>
        <w:pStyle w:val="TOC2"/>
        <w:tabs>
          <w:tab w:val="left" w:pos="839"/>
          <w:tab w:val="left" w:leader="dot" w:pos="9359"/>
        </w:tabs>
      </w:pPr>
    </w:p>
    <w:p w14:paraId="1F13AAE0" w14:textId="77777777" w:rsidR="00EB459A" w:rsidRDefault="00EB459A">
      <w:pPr>
        <w:sectPr w:rsidR="00EB459A" w:rsidSect="00664778">
          <w:footerReference w:type="default" r:id="rId14"/>
          <w:pgSz w:w="12240" w:h="15840"/>
          <w:pgMar w:top="1380" w:right="940" w:bottom="280" w:left="1320" w:header="720" w:footer="720" w:gutter="0"/>
          <w:pgNumType w:start="1"/>
          <w:cols w:space="720"/>
        </w:sectPr>
      </w:pPr>
    </w:p>
    <w:p w14:paraId="20264FAA" w14:textId="443D37FC" w:rsidR="00E87B21" w:rsidRDefault="00E87B21" w:rsidP="00172A40">
      <w:pPr>
        <w:pStyle w:val="URRCHeading1"/>
      </w:pPr>
      <w:bookmarkStart w:id="7" w:name="1.0_The_Application"/>
      <w:bookmarkStart w:id="8" w:name="_bookmark1"/>
      <w:bookmarkEnd w:id="7"/>
      <w:bookmarkEnd w:id="8"/>
      <w:r>
        <w:rPr>
          <w:rFonts w:ascii="Gadugi" w:eastAsia="Gadugi" w:hAnsi="Gadugi" w:cs="Gadugi"/>
          <w:lang w:val="fr-CA" w:bidi="fr-CA"/>
        </w:rPr>
        <w:lastRenderedPageBreak/>
        <w:t>La requête</w:t>
      </w:r>
    </w:p>
    <w:p w14:paraId="1DC6BFAD" w14:textId="77777777" w:rsidR="00EB459A" w:rsidRPr="00001B11" w:rsidRDefault="00EB459A" w:rsidP="00E87B21">
      <w:pPr>
        <w:rPr>
          <w:sz w:val="24"/>
          <w:szCs w:val="24"/>
        </w:rPr>
      </w:pPr>
    </w:p>
    <w:p w14:paraId="6CB40784" w14:textId="6A91137C" w:rsidR="00EB459A" w:rsidRDefault="00632157" w:rsidP="00447B0F">
      <w:pPr>
        <w:pStyle w:val="BodyText"/>
        <w:numPr>
          <w:ilvl w:val="0"/>
          <w:numId w:val="4"/>
        </w:numPr>
        <w:spacing w:after="120" w:line="360" w:lineRule="auto"/>
        <w:ind w:left="907" w:hanging="547"/>
        <w:jc w:val="both"/>
      </w:pPr>
      <w:r>
        <w:rPr>
          <w:rFonts w:ascii="Gadugi" w:eastAsia="Gadugi" w:hAnsi="Gadugi" w:cs="Gadugi"/>
          <w:lang w:val="fr-CA" w:bidi="fr-CA"/>
        </w:rPr>
        <w:t xml:space="preserve">En vertu du paragraphe 12(1) de la </w:t>
      </w:r>
      <w:r>
        <w:rPr>
          <w:rFonts w:ascii="Gadugi" w:eastAsia="Gadugi" w:hAnsi="Gadugi" w:cs="Gadugi"/>
          <w:i/>
          <w:lang w:val="fr-CA" w:bidi="fr-CA"/>
        </w:rPr>
        <w:t xml:space="preserve">Loi sur le conseil d’examen des taux des entreprises de service </w:t>
      </w:r>
      <w:r>
        <w:rPr>
          <w:rFonts w:ascii="Gadugi" w:eastAsia="Gadugi" w:hAnsi="Gadugi" w:cs="Gadugi"/>
          <w:lang w:val="fr-CA" w:bidi="fr-CA"/>
        </w:rPr>
        <w:t>(</w:t>
      </w:r>
      <w:r>
        <w:rPr>
          <w:rFonts w:ascii="Gadugi" w:eastAsia="Gadugi" w:hAnsi="Gadugi" w:cs="Gadugi"/>
          <w:i/>
          <w:lang w:val="fr-CA" w:bidi="fr-CA"/>
        </w:rPr>
        <w:t>Loi sur le CETES</w:t>
      </w:r>
      <w:r>
        <w:rPr>
          <w:rFonts w:ascii="Gadugi" w:eastAsia="Gadugi" w:hAnsi="Gadugi" w:cs="Gadugi"/>
          <w:lang w:val="fr-CA" w:bidi="fr-CA"/>
        </w:rPr>
        <w:t xml:space="preserve">), la Société d’énergie Qulliq (SÉQ), en tant qu’entreprise de service désignée, doit obtenir l’approbation du ministre responsable de la SÉQ (ministre responsable) avant d’établir un tarif ou un taux. En retour, le ministre responsable de la SÉQ est tenu, conformément au paragraphe 12(2) de la </w:t>
      </w:r>
      <w:r>
        <w:rPr>
          <w:rFonts w:ascii="Gadugi" w:eastAsia="Gadugi" w:hAnsi="Gadugi" w:cs="Gadugi"/>
          <w:i/>
          <w:lang w:val="fr-CA" w:bidi="fr-CA"/>
        </w:rPr>
        <w:t>Loi sur le CETES</w:t>
      </w:r>
      <w:r>
        <w:rPr>
          <w:rFonts w:ascii="Gadugi" w:eastAsia="Gadugi" w:hAnsi="Gadugi" w:cs="Gadugi"/>
          <w:lang w:val="fr-CA" w:bidi="fr-CA"/>
        </w:rPr>
        <w:t>, d’obtenir l'avis du Conseil d’examen des taux des entreprises de service au Nunavut (CETES) concernant la demande du service public d’établir un tarif ou un taux.</w:t>
      </w:r>
    </w:p>
    <w:p w14:paraId="1FCF586A" w14:textId="76BD5B8B" w:rsidR="00CD3C29" w:rsidRPr="00CD3C29" w:rsidRDefault="00CD3C29" w:rsidP="00EC7006">
      <w:pPr>
        <w:pStyle w:val="ListParagraph"/>
        <w:numPr>
          <w:ilvl w:val="0"/>
          <w:numId w:val="4"/>
        </w:numPr>
        <w:spacing w:line="360" w:lineRule="auto"/>
        <w:ind w:left="900" w:hanging="540"/>
        <w:jc w:val="both"/>
        <w:rPr>
          <w:sz w:val="24"/>
          <w:szCs w:val="24"/>
        </w:rPr>
      </w:pPr>
      <w:r w:rsidRPr="00CD3C29">
        <w:rPr>
          <w:rFonts w:ascii="Gadugi" w:eastAsia="Gadugi" w:hAnsi="Gadugi" w:cs="Gadugi"/>
          <w:sz w:val="24"/>
          <w:lang w:val="fr-CA" w:bidi="fr-CA"/>
        </w:rPr>
        <w:t xml:space="preserve">Dans une lettre datée du 27 mars 2023, la SÉQ a demandé au ministre responsable d’approuver un supplément au taux de stabilisation du prix du combustible (TSPC) de 7,33 cents par </w:t>
      </w:r>
      <w:r w:rsidR="00C70E1E">
        <w:rPr>
          <w:rFonts w:ascii="Gadugi" w:eastAsia="Gadugi" w:hAnsi="Gadugi" w:cs="Gadugi"/>
          <w:lang w:val="fr-CA" w:bidi="fr-CA"/>
        </w:rPr>
        <w:t>kilowattheure</w:t>
      </w:r>
      <w:r w:rsidR="00C70E1E">
        <w:rPr>
          <w:rFonts w:ascii="Gadugi" w:eastAsia="Gadugi" w:hAnsi="Gadugi" w:cs="Gadugi"/>
          <w:sz w:val="24"/>
          <w:lang w:val="fr-CA" w:bidi="fr-CA"/>
        </w:rPr>
        <w:t xml:space="preserve"> (kWh) pour la période allant du 1er avril au 30 septembre 2023. La SÉQ a aussi demandé l’approbation d’un supplément au TSPC sur une base remboursable et provisoire pour la période comprise entre le 1er avril 2023 et la date d’approbation finale du supplément au TSPC. Dans une lettre datée du 3 avril 2023, le ministre responsable de la SÉQ a sollicité l’avis du CETES concernant cette demande. </w:t>
      </w:r>
    </w:p>
    <w:p w14:paraId="27401673" w14:textId="60AA0BE6" w:rsidR="00FF2984" w:rsidRDefault="00FF2984" w:rsidP="00FF2984"/>
    <w:p w14:paraId="783D5AE7" w14:textId="26E38BDD" w:rsidR="00EB459A" w:rsidRPr="00664778" w:rsidRDefault="00632157" w:rsidP="00172A40">
      <w:pPr>
        <w:pStyle w:val="URRCHeading1"/>
      </w:pPr>
      <w:bookmarkStart w:id="9" w:name="2.0_Background"/>
      <w:bookmarkStart w:id="10" w:name="_bookmark2"/>
      <w:bookmarkEnd w:id="9"/>
      <w:bookmarkEnd w:id="10"/>
      <w:r w:rsidRPr="00664778">
        <w:rPr>
          <w:rFonts w:ascii="Gadugi" w:eastAsia="Gadugi" w:hAnsi="Gadugi" w:cs="Gadugi"/>
          <w:lang w:val="fr-CA" w:bidi="fr-CA"/>
        </w:rPr>
        <w:t>CONTEXTE</w:t>
      </w:r>
    </w:p>
    <w:p w14:paraId="64D54015" w14:textId="77777777" w:rsidR="00AE6869" w:rsidRDefault="00AE6869" w:rsidP="00664778"/>
    <w:p w14:paraId="640862AF" w14:textId="2A9EC986" w:rsidR="00EB459A" w:rsidRDefault="00632157" w:rsidP="00FF2984">
      <w:pPr>
        <w:pStyle w:val="BodyText"/>
        <w:numPr>
          <w:ilvl w:val="0"/>
          <w:numId w:val="4"/>
        </w:numPr>
        <w:spacing w:after="120" w:line="360" w:lineRule="auto"/>
        <w:ind w:left="907" w:hanging="547"/>
        <w:jc w:val="both"/>
      </w:pPr>
      <w:r>
        <w:rPr>
          <w:rFonts w:ascii="Gadugi" w:eastAsia="Gadugi" w:hAnsi="Gadugi" w:cs="Gadugi"/>
          <w:lang w:val="fr-CA" w:bidi="fr-CA"/>
        </w:rPr>
        <w:t>Les tarifs d’électricité de base actuels sont entrés en vigueur le 1</w:t>
      </w:r>
      <w:r>
        <w:rPr>
          <w:rFonts w:ascii="Gadugi" w:eastAsia="Gadugi" w:hAnsi="Gadugi" w:cs="Gadugi"/>
          <w:vertAlign w:val="superscript"/>
          <w:lang w:val="fr-CA" w:bidi="fr-CA"/>
        </w:rPr>
        <w:t>er </w:t>
      </w:r>
      <w:r>
        <w:rPr>
          <w:rFonts w:ascii="Gadugi" w:eastAsia="Gadugi" w:hAnsi="Gadugi" w:cs="Gadugi"/>
          <w:lang w:val="fr-CA" w:bidi="fr-CA"/>
        </w:rPr>
        <w:t>octobre 2022, conformément à l’instruction ministérielle du 8 septembre 2022, dans le cadre de la phase I de la requête en majoration tarifaire générale (RMTG) de la SÉQ pour l’exercice 2022/12. L'hypothèse d'une moyenne pondérée du prix du combustible de 0,96 $</w:t>
      </w:r>
      <w:r w:rsidR="00F94481">
        <w:rPr>
          <w:rStyle w:val="FootnoteReference"/>
          <w:rFonts w:ascii="Gadugi" w:eastAsia="Gadugi" w:hAnsi="Gadugi" w:cs="Gadugi"/>
          <w:lang w:val="fr-CA" w:bidi="fr-CA"/>
        </w:rPr>
        <w:footnoteReference w:id="1"/>
      </w:r>
      <w:r>
        <w:rPr>
          <w:rFonts w:ascii="Gadugi" w:eastAsia="Gadugi" w:hAnsi="Gadugi" w:cs="Gadugi"/>
          <w:lang w:val="fr-CA" w:bidi="fr-CA"/>
        </w:rPr>
        <w:t xml:space="preserve"> par litre (moyenne pondérée pour toutes les localités) intégrée dans les tarifs de base actuels correspond à la prévision des stocks de combustible et à la combinaison des prix du combustible en vrac et du combustible en valeur </w:t>
      </w:r>
      <w:r>
        <w:rPr>
          <w:rFonts w:ascii="Gadugi" w:eastAsia="Gadugi" w:hAnsi="Gadugi" w:cs="Gadugi"/>
          <w:lang w:val="fr-CA" w:bidi="fr-CA"/>
        </w:rPr>
        <w:lastRenderedPageBreak/>
        <w:t>nominale, conformément aux résultats d'exploitation antérieurs de la SÉQ. Les prix du combustible en vrac pour l'été 2022 étaient établis sur la base des renseignements fournis par la Division des produits pétroliers (DPP) du ministère des Services communautaires et gouvernementaux et les prix en valeur nominale prévus pour 2022-2023 reposaient sur les ajustements réels des prix de détail du combustible annoncés par le GN et en vigueur au 6 février 2022.</w:t>
      </w:r>
    </w:p>
    <w:p w14:paraId="024D90FD" w14:textId="34D1DE17" w:rsidR="003C51FD" w:rsidRDefault="003C51FD" w:rsidP="00FF2984">
      <w:pPr>
        <w:pStyle w:val="BodyText"/>
        <w:numPr>
          <w:ilvl w:val="0"/>
          <w:numId w:val="4"/>
        </w:numPr>
        <w:spacing w:after="120" w:line="360" w:lineRule="auto"/>
        <w:ind w:left="907" w:hanging="547"/>
        <w:jc w:val="both"/>
      </w:pPr>
      <w:r>
        <w:rPr>
          <w:rFonts w:ascii="Gadugi" w:eastAsia="Gadugi" w:hAnsi="Gadugi" w:cs="Gadugi"/>
          <w:lang w:val="fr-CA" w:bidi="fr-CA"/>
        </w:rPr>
        <w:t>Une instruction ministérielle datée du 30 mai 2014 exige que la SÉQ prépare une prévision du solde du Fonds de stabilisation du prix du combustible (Fonds de SPC) qui cumule la différence entre le cout réel du combustible et la moyenne pondérée des prévisions de prix du combustible dans la RMTG. Sur l’instruction du ministre, la SÉQ doit faire une demande de supplément de stabilisation du cout du combustible chaque fois qu’il est prévu que le solde du Fonds de SPC dépassera le seuil de plus ou moins un million $ sur une période de six mois.</w:t>
      </w:r>
    </w:p>
    <w:p w14:paraId="0206F1EB" w14:textId="1A1A3A9C" w:rsidR="00D825DE" w:rsidRDefault="00632157" w:rsidP="00FF2984">
      <w:pPr>
        <w:pStyle w:val="BodyText"/>
        <w:numPr>
          <w:ilvl w:val="0"/>
          <w:numId w:val="4"/>
        </w:numPr>
        <w:spacing w:after="120" w:line="360" w:lineRule="auto"/>
        <w:ind w:left="907" w:right="-14" w:hanging="547"/>
        <w:jc w:val="both"/>
      </w:pPr>
      <w:r>
        <w:rPr>
          <w:rFonts w:ascii="Gadugi" w:eastAsia="Gadugi" w:hAnsi="Gadugi" w:cs="Gadugi"/>
          <w:lang w:val="fr-CA" w:bidi="fr-CA"/>
        </w:rPr>
        <w:t>La demande actuelle concerne un supplément de stabilisation du prix du combustible de 7,33 cents/kWh en vigueur du 1</w:t>
      </w:r>
      <w:r>
        <w:rPr>
          <w:rFonts w:ascii="Gadugi" w:eastAsia="Gadugi" w:hAnsi="Gadugi" w:cs="Gadugi"/>
          <w:vertAlign w:val="superscript"/>
          <w:lang w:val="fr-CA" w:bidi="fr-CA"/>
        </w:rPr>
        <w:t>er</w:t>
      </w:r>
      <w:r>
        <w:rPr>
          <w:rFonts w:ascii="Gadugi" w:eastAsia="Gadugi" w:hAnsi="Gadugi" w:cs="Gadugi"/>
          <w:lang w:val="fr-CA" w:bidi="fr-CA"/>
        </w:rPr>
        <w:t xml:space="preserve"> avril au 30 septembre 2023. Le rapprochement du cout du combustible déposé dans le cadre de la demande compare la moyenne du cout prévu dans la RMTG de 0,96 $/litre au cout réel à ce jour et au cout prévu pour la période du 1</w:t>
      </w:r>
      <w:r>
        <w:rPr>
          <w:rFonts w:ascii="Gadugi" w:eastAsia="Gadugi" w:hAnsi="Gadugi" w:cs="Gadugi"/>
          <w:vertAlign w:val="superscript"/>
          <w:lang w:val="fr-CA" w:bidi="fr-CA"/>
        </w:rPr>
        <w:t>er</w:t>
      </w:r>
      <w:r>
        <w:rPr>
          <w:rFonts w:ascii="Gadugi" w:eastAsia="Gadugi" w:hAnsi="Gadugi" w:cs="Gadugi"/>
          <w:lang w:val="fr-CA" w:bidi="fr-CA"/>
        </w:rPr>
        <w:t xml:space="preserve"> avril au 30 septembre 2023. D’après le rapprochement du cout du combustible, la SÉQ prévoit un solde à verser à la SÉQ de l’ordre de 6,8 million $ en date du 30 septembre 2023.</w:t>
      </w:r>
    </w:p>
    <w:p w14:paraId="32E4CF18" w14:textId="435DED2C" w:rsidR="00EB459A" w:rsidRDefault="00632157" w:rsidP="00FF2984">
      <w:pPr>
        <w:pStyle w:val="BodyText"/>
        <w:numPr>
          <w:ilvl w:val="0"/>
          <w:numId w:val="4"/>
        </w:numPr>
        <w:spacing w:after="120" w:line="360" w:lineRule="auto"/>
        <w:ind w:left="907" w:right="-14" w:hanging="547"/>
        <w:jc w:val="both"/>
      </w:pPr>
      <w:r>
        <w:rPr>
          <w:rFonts w:ascii="Gadugi" w:eastAsia="Gadugi" w:hAnsi="Gadugi" w:cs="Gadugi"/>
          <w:lang w:val="fr-CA" w:bidi="fr-CA"/>
        </w:rPr>
        <w:t xml:space="preserve">La SÉQ a demandé l'autorisation de percevoir auprès des clients, sous forme d'un supplément au TSPC, toute différence entre les couts des combustibles comptabilisés dans les tarifs sur une base prévisionnelle et les couts réels des combustibles. Il n'y a pas eu lieu de prévoir un supplément au TSPC depuis que les tarifs d’électricité ont été approuvés pour la dernière fois dans le cadre du RMTG 2022-2023, mais la SÉQ a prévu que le Fonds de SPC dépasserait la limite de 1,0 million $ sans le supplément de 7,33 cents par kWh qui a été demandé. </w:t>
      </w:r>
      <w:r>
        <w:rPr>
          <w:rFonts w:ascii="Gadugi" w:eastAsia="Gadugi" w:hAnsi="Gadugi" w:cs="Gadugi"/>
          <w:lang w:val="fr-CA" w:bidi="fr-CA"/>
        </w:rPr>
        <w:lastRenderedPageBreak/>
        <w:t>Dans la demande, la SÉQ a sollicité l’approbation d’un supplément au TSPC de 7,33 cents/kWh sur une base provisoire et remboursable, en vigueur au 1</w:t>
      </w:r>
      <w:r>
        <w:rPr>
          <w:rFonts w:ascii="Gadugi" w:eastAsia="Gadugi" w:hAnsi="Gadugi" w:cs="Gadugi"/>
          <w:vertAlign w:val="superscript"/>
          <w:lang w:val="fr-CA" w:bidi="fr-CA"/>
        </w:rPr>
        <w:t>er</w:t>
      </w:r>
      <w:r>
        <w:rPr>
          <w:rFonts w:ascii="Gadugi" w:eastAsia="Gadugi" w:hAnsi="Gadugi" w:cs="Gadugi"/>
          <w:lang w:val="fr-CA" w:bidi="fr-CA"/>
        </w:rPr>
        <w:t xml:space="preserve"> avril 2023.</w:t>
      </w:r>
    </w:p>
    <w:p w14:paraId="35A3838F" w14:textId="762559EB" w:rsidR="00EB459A" w:rsidRDefault="00632157" w:rsidP="00C70E1E">
      <w:pPr>
        <w:pStyle w:val="BodyText"/>
        <w:widowControl/>
        <w:numPr>
          <w:ilvl w:val="0"/>
          <w:numId w:val="4"/>
        </w:numPr>
        <w:spacing w:after="120" w:line="360" w:lineRule="auto"/>
        <w:ind w:left="907" w:right="-14" w:hanging="547"/>
        <w:jc w:val="both"/>
      </w:pPr>
      <w:r>
        <w:rPr>
          <w:rFonts w:ascii="Gadugi" w:eastAsia="Gadugi" w:hAnsi="Gadugi" w:cs="Gadugi"/>
          <w:lang w:val="fr-CA" w:bidi="fr-CA"/>
        </w:rPr>
        <w:t>Le CETES a examiné la demande et, dans une lettre datée du 5 avril 2023, a recommandé l’approbation d’un supplément provisoire sur le TSPC de 7,33 cents/kWh pour la période allant du 1</w:t>
      </w:r>
      <w:r>
        <w:rPr>
          <w:rFonts w:ascii="Gadugi" w:eastAsia="Gadugi" w:hAnsi="Gadugi" w:cs="Gadugi"/>
          <w:vertAlign w:val="superscript"/>
          <w:lang w:val="fr-CA" w:bidi="fr-CA"/>
        </w:rPr>
        <w:t>er</w:t>
      </w:r>
      <w:r>
        <w:rPr>
          <w:rFonts w:ascii="Gadugi" w:eastAsia="Gadugi" w:hAnsi="Gadugi" w:cs="Gadugi"/>
          <w:lang w:val="fr-CA" w:bidi="fr-CA"/>
        </w:rPr>
        <w:t xml:space="preserve"> avril 2023 jusqu’à la date d’approbation finale de la demande. Le CETES a déterminé que l’entrée en vigueur du supplément provisoire sur le TSPC était dans l’intérêt supérieur du public et qu’elle s’inscrivait dans le processus de maintien de la stabilisation des tarifs pour tous les clients.</w:t>
      </w:r>
    </w:p>
    <w:p w14:paraId="200DD3E0" w14:textId="28517B1F" w:rsidR="00EB459A" w:rsidRDefault="00632157" w:rsidP="00FF2984">
      <w:pPr>
        <w:pStyle w:val="BodyText"/>
        <w:numPr>
          <w:ilvl w:val="0"/>
          <w:numId w:val="4"/>
        </w:numPr>
        <w:spacing w:after="120" w:line="360" w:lineRule="auto"/>
        <w:ind w:left="907" w:right="-14" w:hanging="547"/>
        <w:jc w:val="both"/>
      </w:pPr>
      <w:r>
        <w:rPr>
          <w:rFonts w:ascii="Gadugi" w:eastAsia="Gadugi" w:hAnsi="Gadugi" w:cs="Gadugi"/>
          <w:lang w:val="fr-CA" w:bidi="fr-CA"/>
        </w:rPr>
        <w:t>Sur recommandation du CETES, telle que résumée ci-dessus, le 5 avril 2023, le ministre responsable du Conseil d’examen a approuvé un supplément sur le TSPC de 7,33 cent/kW, en vigueur le 1</w:t>
      </w:r>
      <w:r>
        <w:rPr>
          <w:rFonts w:ascii="Gadugi" w:eastAsia="Gadugi" w:hAnsi="Gadugi" w:cs="Gadugi"/>
          <w:vertAlign w:val="superscript"/>
          <w:lang w:val="fr-CA" w:bidi="fr-CA"/>
        </w:rPr>
        <w:t>er </w:t>
      </w:r>
      <w:r>
        <w:rPr>
          <w:rFonts w:ascii="Gadugi" w:eastAsia="Gadugi" w:hAnsi="Gadugi" w:cs="Gadugi"/>
          <w:lang w:val="fr-CA" w:bidi="fr-CA"/>
        </w:rPr>
        <w:t>avril 2023, sur une base provisoire, conformément au paragraphe 12.1(1) de la L</w:t>
      </w:r>
      <w:r>
        <w:rPr>
          <w:rFonts w:ascii="Gadugi" w:eastAsia="Gadugi" w:hAnsi="Gadugi" w:cs="Gadugi"/>
          <w:i/>
          <w:lang w:val="fr-CA" w:bidi="fr-CA"/>
        </w:rPr>
        <w:t>oi sur le CETES</w:t>
      </w:r>
      <w:r>
        <w:rPr>
          <w:rFonts w:ascii="Gadugi" w:eastAsia="Gadugi" w:hAnsi="Gadugi" w:cs="Gadugi"/>
          <w:lang w:val="fr-CA" w:bidi="fr-CA"/>
        </w:rPr>
        <w:t xml:space="preserve"> qui stipule que : « Lorsque l’avis du Conseil d’examen est demandé en vertu du paragraphe 12(2), le Conseil d’examen peut recommander l’établissement d’un taux ou d’un tarif temporaire jusqu’à ce que des instructions soient données en vertu de l’article 16, et le ministre responsable du Conseil d’examen peut autoriser l’entreprise de service désignée à établir le taux ou le tarif temporaire recommandé. »</w:t>
      </w:r>
    </w:p>
    <w:p w14:paraId="4D85F9B6" w14:textId="77777777" w:rsidR="00EB459A" w:rsidRDefault="00EB459A" w:rsidP="00AE6869">
      <w:pPr>
        <w:pStyle w:val="BodyText"/>
        <w:numPr>
          <w:ilvl w:val="0"/>
          <w:numId w:val="4"/>
        </w:numPr>
        <w:spacing w:line="360" w:lineRule="auto"/>
        <w:ind w:left="426" w:right="496" w:hanging="284"/>
        <w:jc w:val="both"/>
        <w:sectPr w:rsidR="00EB459A" w:rsidSect="004D7900">
          <w:footerReference w:type="default" r:id="rId15"/>
          <w:pgSz w:w="12240" w:h="15840"/>
          <w:pgMar w:top="1440" w:right="1440" w:bottom="720" w:left="1440" w:header="0" w:footer="792" w:gutter="0"/>
          <w:pgNumType w:start="1"/>
          <w:cols w:space="720"/>
        </w:sectPr>
      </w:pPr>
    </w:p>
    <w:p w14:paraId="27C9A3F2" w14:textId="6AA70032" w:rsidR="00EB459A" w:rsidRPr="00664778" w:rsidRDefault="00632157" w:rsidP="00172A40">
      <w:pPr>
        <w:pStyle w:val="URRCHeading1"/>
      </w:pPr>
      <w:bookmarkStart w:id="11" w:name="3.0__Process"/>
      <w:bookmarkStart w:id="12" w:name="_bookmark3"/>
      <w:bookmarkEnd w:id="11"/>
      <w:bookmarkEnd w:id="12"/>
      <w:r w:rsidRPr="00664778">
        <w:rPr>
          <w:rFonts w:ascii="Gadugi" w:eastAsia="Gadugi" w:hAnsi="Gadugi" w:cs="Gadugi"/>
          <w:lang w:val="fr-CA" w:bidi="fr-CA"/>
        </w:rPr>
        <w:lastRenderedPageBreak/>
        <w:t>PROCESSUS</w:t>
      </w:r>
    </w:p>
    <w:p w14:paraId="7DA332CF" w14:textId="77777777" w:rsidR="00EB459A" w:rsidRPr="00664778" w:rsidRDefault="00EB459A" w:rsidP="00664778"/>
    <w:p w14:paraId="78E11C5E" w14:textId="534244D0" w:rsidR="00EB459A" w:rsidRDefault="00632157" w:rsidP="005E0E93">
      <w:pPr>
        <w:pStyle w:val="BodyText"/>
        <w:numPr>
          <w:ilvl w:val="0"/>
          <w:numId w:val="4"/>
        </w:numPr>
        <w:spacing w:line="360" w:lineRule="auto"/>
        <w:ind w:left="900" w:right="496" w:hanging="540"/>
        <w:jc w:val="both"/>
      </w:pPr>
      <w:r>
        <w:rPr>
          <w:rFonts w:ascii="Gadugi" w:eastAsia="Gadugi" w:hAnsi="Gadugi" w:cs="Gadugi"/>
          <w:lang w:val="fr-CA" w:bidi="fr-CA"/>
        </w:rPr>
        <w:t xml:space="preserve">Le paragraphe 13(1.1) de la </w:t>
      </w:r>
      <w:r>
        <w:rPr>
          <w:rFonts w:ascii="Gadugi" w:eastAsia="Gadugi" w:hAnsi="Gadugi" w:cs="Gadugi"/>
          <w:i/>
          <w:lang w:val="fr-CA" w:bidi="fr-CA"/>
        </w:rPr>
        <w:t>Loi sur le CETES</w:t>
      </w:r>
      <w:r>
        <w:rPr>
          <w:rFonts w:ascii="Gadugi" w:eastAsia="Gadugi" w:hAnsi="Gadugi" w:cs="Gadugi"/>
          <w:lang w:val="fr-CA" w:bidi="fr-CA"/>
        </w:rPr>
        <w:t xml:space="preserve"> stipule que :</w:t>
      </w:r>
    </w:p>
    <w:p w14:paraId="6F0A3503" w14:textId="0EE24FEC" w:rsidR="00EB459A" w:rsidRPr="00EC7006" w:rsidRDefault="00632157" w:rsidP="005E0E93">
      <w:pPr>
        <w:pStyle w:val="BodyText"/>
        <w:spacing w:before="120" w:after="120" w:line="360" w:lineRule="auto"/>
        <w:ind w:left="900" w:right="720"/>
        <w:jc w:val="both"/>
        <w:rPr>
          <w:sz w:val="22"/>
          <w:szCs w:val="22"/>
        </w:rPr>
      </w:pPr>
      <w:r w:rsidRPr="00EC7006">
        <w:rPr>
          <w:rFonts w:ascii="Gadugi" w:eastAsia="Gadugi" w:hAnsi="Gadugi" w:cs="Gadugi"/>
          <w:sz w:val="22"/>
          <w:lang w:val="fr-CA" w:bidi="fr-CA"/>
        </w:rPr>
        <w:t>Lorsque, de l’avis du Conseil d’examen, la demande d’approbation d’un taux ou d’un tarif proposé est peu importante, le Conseil d’examen remet au ministre responsable un rapport au plus tard 90 jours après avoir reçu du ministre la demande d’avis visée au paragraphe 12(2).</w:t>
      </w:r>
    </w:p>
    <w:p w14:paraId="2E1256F2" w14:textId="40237475"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fr-CA" w:bidi="fr-CA"/>
        </w:rPr>
        <w:t>Après l’examen de la demande de la SÉQ, le CETES a choisi de la traiter comme une demande peu importante.</w:t>
      </w:r>
    </w:p>
    <w:p w14:paraId="26668A76" w14:textId="5409FC76" w:rsidR="0008498A" w:rsidRDefault="00CC00CF" w:rsidP="005E0E93">
      <w:pPr>
        <w:pStyle w:val="BodyText"/>
        <w:numPr>
          <w:ilvl w:val="0"/>
          <w:numId w:val="4"/>
        </w:numPr>
        <w:spacing w:after="120" w:line="360" w:lineRule="auto"/>
        <w:ind w:left="900" w:hanging="540"/>
        <w:jc w:val="both"/>
      </w:pPr>
      <w:r>
        <w:rPr>
          <w:rFonts w:ascii="Gadugi" w:eastAsia="Gadugi" w:hAnsi="Gadugi" w:cs="Gadugi"/>
          <w:lang w:val="fr-CA" w:bidi="fr-CA"/>
        </w:rPr>
        <w:t>Le CETES a transmis un avis de demande dans les médias sociaux, par l’intermédiaire d’agents de liaison du gouvernement dans chaque collectivité et par lettre à chaque membre de l’Assemblée législative du Nunavut, aux maires, aux agents d’administration principaux (AAP), de même qu’aux adjoints des AAP dans tout le Nunavut.</w:t>
      </w:r>
    </w:p>
    <w:p w14:paraId="48647205" w14:textId="36512DC5" w:rsidR="0008498A" w:rsidRDefault="0008498A" w:rsidP="005E0E93">
      <w:pPr>
        <w:pStyle w:val="BodyText"/>
        <w:numPr>
          <w:ilvl w:val="0"/>
          <w:numId w:val="4"/>
        </w:numPr>
        <w:spacing w:after="120" w:line="360" w:lineRule="auto"/>
        <w:ind w:left="900" w:hanging="540"/>
        <w:jc w:val="both"/>
      </w:pPr>
      <w:r>
        <w:rPr>
          <w:rFonts w:ascii="Gadugi" w:eastAsia="Gadugi" w:hAnsi="Gadugi" w:cs="Gadugi"/>
          <w:lang w:val="fr-CA" w:bidi="fr-CA"/>
        </w:rPr>
        <w:t>Le CETES a également donné au public l’occasion de présenter des commentaires écrits au sujet de la demande avant l’échéance du 5 mai 2023. Aucune soumission écrite en lien avec la demande n’a été reçue du public ou de toute autre partie avant cette date.</w:t>
      </w:r>
    </w:p>
    <w:p w14:paraId="00B75700" w14:textId="23B35BE3"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fr-CA" w:bidi="fr-CA"/>
        </w:rPr>
        <w:t>Le CETES a passé en revue la demande et établi que de l’information additionnelle était requise. Des demandes d’information ont été faites à la SÉQ le 17 avril 2023 et la SÉQ a fourni ses réponses le 2 mai 2023.</w:t>
      </w:r>
    </w:p>
    <w:p w14:paraId="25D86BDB" w14:textId="77777777"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fr-CA" w:bidi="fr-CA"/>
        </w:rPr>
        <w:t>Le présent rapport fait état des résultats de l’examen de ce dossier effectué par le CETES.</w:t>
      </w:r>
    </w:p>
    <w:p w14:paraId="7AAE84AA" w14:textId="77777777" w:rsidR="00EB459A" w:rsidRDefault="00EB459A" w:rsidP="00AE6869">
      <w:pPr>
        <w:pStyle w:val="BodyText"/>
        <w:numPr>
          <w:ilvl w:val="0"/>
          <w:numId w:val="4"/>
        </w:numPr>
        <w:spacing w:line="360" w:lineRule="auto"/>
        <w:ind w:left="426" w:right="496" w:hanging="284"/>
        <w:jc w:val="both"/>
        <w:sectPr w:rsidR="00EB459A" w:rsidSect="003402C7">
          <w:pgSz w:w="12240" w:h="15840"/>
          <w:pgMar w:top="1440" w:right="1440" w:bottom="720" w:left="1440" w:header="0" w:footer="792" w:gutter="0"/>
          <w:cols w:space="720"/>
        </w:sectPr>
      </w:pPr>
    </w:p>
    <w:p w14:paraId="1424569F" w14:textId="77777777" w:rsidR="00EB459A" w:rsidRPr="00664778" w:rsidRDefault="00632157" w:rsidP="00664778">
      <w:pPr>
        <w:pStyle w:val="URRCHeading1"/>
      </w:pPr>
      <w:bookmarkStart w:id="13" w:name="4.0__Consideration_of_the_Application"/>
      <w:bookmarkStart w:id="14" w:name="_bookmark4"/>
      <w:bookmarkEnd w:id="13"/>
      <w:bookmarkEnd w:id="14"/>
      <w:r w:rsidRPr="00664778">
        <w:rPr>
          <w:rFonts w:ascii="Gadugi" w:eastAsia="Gadugi" w:hAnsi="Gadugi" w:cs="Gadugi"/>
          <w:lang w:val="fr-CA" w:bidi="fr-CA"/>
        </w:rPr>
        <w:lastRenderedPageBreak/>
        <w:t>EXAMEN DE LA DEMANDE</w:t>
      </w:r>
    </w:p>
    <w:p w14:paraId="511BE05C" w14:textId="77777777" w:rsidR="00EB459A" w:rsidRPr="005E0E93" w:rsidRDefault="00EB459A">
      <w:pPr>
        <w:pStyle w:val="BodyText"/>
      </w:pPr>
    </w:p>
    <w:p w14:paraId="357B1804" w14:textId="16E9E80C" w:rsidR="00EB459A" w:rsidRDefault="00632157" w:rsidP="005E0E93">
      <w:pPr>
        <w:pStyle w:val="BodyText"/>
        <w:numPr>
          <w:ilvl w:val="0"/>
          <w:numId w:val="4"/>
        </w:numPr>
        <w:spacing w:after="120" w:line="360" w:lineRule="auto"/>
        <w:ind w:left="907" w:hanging="547"/>
        <w:jc w:val="both"/>
      </w:pPr>
      <w:r>
        <w:rPr>
          <w:rFonts w:ascii="Gadugi" w:eastAsia="Gadugi" w:hAnsi="Gadugi" w:cs="Gadugi"/>
          <w:lang w:val="fr-CA" w:bidi="fr-CA"/>
        </w:rPr>
        <w:t>Dans sa demande, la SÉQ a présenté des annexes résumant les soldes mensuels prévus du Fonds de SPC jusqu’au 30 septembre 2023 et détaillant les calculs du supplément proposé. D’après la SÉQ, ces annexes se fondent sur les données et les hypothèses suivantes :</w:t>
      </w:r>
    </w:p>
    <w:p w14:paraId="35002732" w14:textId="5DC9BC70" w:rsidR="00EB459A" w:rsidRDefault="00632157" w:rsidP="0098695A">
      <w:pPr>
        <w:pStyle w:val="ListParagraph"/>
        <w:numPr>
          <w:ilvl w:val="2"/>
          <w:numId w:val="2"/>
        </w:numPr>
        <w:tabs>
          <w:tab w:val="left" w:pos="1251"/>
        </w:tabs>
        <w:spacing w:line="360" w:lineRule="auto"/>
        <w:jc w:val="both"/>
        <w:rPr>
          <w:sz w:val="24"/>
        </w:rPr>
      </w:pPr>
      <w:r>
        <w:rPr>
          <w:rFonts w:ascii="Gadugi" w:eastAsia="Gadugi" w:hAnsi="Gadugi" w:cs="Gadugi"/>
          <w:sz w:val="24"/>
          <w:lang w:val="fr-CA" w:bidi="fr-CA"/>
        </w:rPr>
        <w:t>Prix du combustible en vrac : Les prévisions relatives à la livraison et au prix du combustible en vrac sont fondées sur les prix actuels pour la saison de réapprovisionnement de 2022. Les prévisions relatives au prix se basent sur des renseignements fournis par la DPP.</w:t>
      </w:r>
    </w:p>
    <w:p w14:paraId="61EC6C13" w14:textId="4B35AE06" w:rsidR="00EB459A" w:rsidRDefault="00632157" w:rsidP="0098695A">
      <w:pPr>
        <w:pStyle w:val="ListParagraph"/>
        <w:numPr>
          <w:ilvl w:val="2"/>
          <w:numId w:val="2"/>
        </w:numPr>
        <w:tabs>
          <w:tab w:val="left" w:pos="1251"/>
        </w:tabs>
        <w:spacing w:line="360" w:lineRule="auto"/>
        <w:jc w:val="both"/>
      </w:pPr>
      <w:r>
        <w:rPr>
          <w:rFonts w:ascii="Gadugi" w:eastAsia="Gadugi" w:hAnsi="Gadugi" w:cs="Gadugi"/>
          <w:sz w:val="24"/>
          <w:lang w:val="fr-CA" w:bidi="fr-CA"/>
        </w:rPr>
        <w:t>Prix du combustible en valeur nominale : Les prix actuels du combustible en valeur nominale ont été utilisés jusqu’en décembre 2022. La SÉQ se procure le combustible à un prix en valeur nominale auprès de tiers sous contrat avec la DPP afin de gérer l’approvisionnement en combustible du Nunavut entre les périodes de ravitaillement par fret maritime du combustible en vrac. Les prix des combustibles en valeur nominale pour la période de prévision allant de janvier à septembre 2023 reflètent les prix fournis par le DPP qui sont entrés en vigueur le 4 décembre 2022. Ces prix révisés du combustible représentent une augmentation de la moyenne mensuelle des prix</w:t>
      </w:r>
      <w:r>
        <w:rPr>
          <w:rFonts w:ascii="Gadugi" w:eastAsia="Gadugi" w:hAnsi="Gadugi" w:cs="Gadugi"/>
          <w:lang w:val="fr-CA" w:bidi="fr-CA"/>
        </w:rPr>
        <w:t>.</w:t>
      </w:r>
    </w:p>
    <w:p w14:paraId="45FAF69C" w14:textId="77777777" w:rsidR="00EB459A" w:rsidRDefault="00632157" w:rsidP="0098695A">
      <w:pPr>
        <w:pStyle w:val="ListParagraph"/>
        <w:numPr>
          <w:ilvl w:val="2"/>
          <w:numId w:val="2"/>
        </w:numPr>
        <w:tabs>
          <w:tab w:val="left" w:pos="1251"/>
        </w:tabs>
        <w:spacing w:before="137" w:line="360" w:lineRule="auto"/>
        <w:jc w:val="both"/>
        <w:rPr>
          <w:sz w:val="24"/>
        </w:rPr>
      </w:pPr>
      <w:r>
        <w:rPr>
          <w:rFonts w:ascii="Gadugi" w:eastAsia="Gadugi" w:hAnsi="Gadugi" w:cs="Gadugi"/>
          <w:sz w:val="24"/>
          <w:lang w:val="fr-CA" w:bidi="fr-CA"/>
        </w:rPr>
        <w:t>Réserves de combustible : Les prévisions relatives aux prix du combustible représentent une moyenne pondérée basée sur les réserves de combustible ainsi que sur les livraisons de combustible en vrac et de combustible en valeur nominale.</w:t>
      </w:r>
    </w:p>
    <w:p w14:paraId="47D3931E" w14:textId="38385471" w:rsidR="00EB459A" w:rsidRDefault="00632157" w:rsidP="0098695A">
      <w:pPr>
        <w:pStyle w:val="ListParagraph"/>
        <w:numPr>
          <w:ilvl w:val="2"/>
          <w:numId w:val="2"/>
        </w:numPr>
        <w:tabs>
          <w:tab w:val="left" w:pos="1251"/>
        </w:tabs>
        <w:ind w:hanging="347"/>
        <w:jc w:val="both"/>
        <w:rPr>
          <w:sz w:val="24"/>
        </w:rPr>
      </w:pPr>
      <w:r>
        <w:rPr>
          <w:rFonts w:ascii="Gadugi" w:eastAsia="Gadugi" w:hAnsi="Gadugi" w:cs="Gadugi"/>
          <w:sz w:val="24"/>
          <w:lang w:val="fr-CA" w:bidi="fr-CA"/>
        </w:rPr>
        <w:t>Ventes et production : Les plus récentes prévisions de la SÉQ en matière de production et de vente.</w:t>
      </w:r>
    </w:p>
    <w:p w14:paraId="477F3A9A" w14:textId="77777777" w:rsidR="00EB459A" w:rsidRPr="00303C2C" w:rsidRDefault="00EB459A">
      <w:pPr>
        <w:pStyle w:val="BodyText"/>
      </w:pPr>
    </w:p>
    <w:p w14:paraId="76F7FF8E" w14:textId="17E6487A" w:rsidR="00EB459A" w:rsidRDefault="00632157" w:rsidP="00303C2C">
      <w:pPr>
        <w:pStyle w:val="BodyText"/>
        <w:numPr>
          <w:ilvl w:val="0"/>
          <w:numId w:val="4"/>
        </w:numPr>
        <w:spacing w:after="120" w:line="360" w:lineRule="auto"/>
        <w:ind w:left="907" w:hanging="547"/>
        <w:jc w:val="both"/>
      </w:pPr>
      <w:r>
        <w:rPr>
          <w:rFonts w:ascii="Gadugi" w:eastAsia="Gadugi" w:hAnsi="Gadugi" w:cs="Gadugi"/>
          <w:lang w:val="fr-CA" w:bidi="fr-CA"/>
        </w:rPr>
        <w:t xml:space="preserve">La SÉQ a fait savoir que l'augmentation des prix prévus pour le combustible, annoncée par le GN le 4 décembre 2022, entrainerait une hausse du solde prévu du fonds de SPC payable à la SÉQ qui serait alors de 6,8 millions $ et ce, à </w:t>
      </w:r>
      <w:r>
        <w:rPr>
          <w:rFonts w:ascii="Gadugi" w:eastAsia="Gadugi" w:hAnsi="Gadugi" w:cs="Gadugi"/>
          <w:lang w:val="fr-CA" w:bidi="fr-CA"/>
        </w:rPr>
        <w:lastRenderedPageBreak/>
        <w:t>compter du 30 septembre 2023. Cela s’explique principalement par une augmentation de 20 cents/litre sur le prix du combustible en valeur nominale.</w:t>
      </w:r>
    </w:p>
    <w:p w14:paraId="4F878918" w14:textId="5CE4E2AC" w:rsidR="00EB459A" w:rsidRDefault="00632157" w:rsidP="00303C2C">
      <w:pPr>
        <w:pStyle w:val="BodyText"/>
        <w:numPr>
          <w:ilvl w:val="0"/>
          <w:numId w:val="4"/>
        </w:numPr>
        <w:spacing w:after="120" w:line="360" w:lineRule="auto"/>
        <w:ind w:left="907" w:hanging="547"/>
        <w:jc w:val="both"/>
      </w:pPr>
      <w:r>
        <w:rPr>
          <w:rFonts w:ascii="Gadugi" w:eastAsia="Gadugi" w:hAnsi="Gadugi" w:cs="Gadugi"/>
          <w:lang w:val="fr-CA" w:bidi="fr-CA"/>
        </w:rPr>
        <w:t>La SÉQ a précisé que le supplément de 7,33 cent/kWh a été calculé dans l’objectif d’atteindre un solde nul dans le Fonds de SPC d’ici le 30 septembre 2023. La SÉQ a expliqué que l’approbation du supplément de stabilisation du cout du combustible proposé donnerait lieu à une augmentation de facture d’environ 38,48 $ (TPS incluse) pour tous les clients résidentiels non gouvernementaux qui consomment 500 kWh par mois, en plus des tarifs de base.</w:t>
      </w:r>
    </w:p>
    <w:p w14:paraId="18B9E495" w14:textId="009F5959" w:rsidR="00EB459A" w:rsidRDefault="00632157" w:rsidP="00303C2C">
      <w:pPr>
        <w:pStyle w:val="BodyText"/>
        <w:numPr>
          <w:ilvl w:val="0"/>
          <w:numId w:val="4"/>
        </w:numPr>
        <w:spacing w:after="120" w:line="360" w:lineRule="auto"/>
        <w:ind w:left="907" w:hanging="547"/>
        <w:jc w:val="both"/>
      </w:pPr>
      <w:r>
        <w:rPr>
          <w:rFonts w:ascii="Gadugi" w:eastAsia="Gadugi" w:hAnsi="Gadugi" w:cs="Gadugi"/>
          <w:lang w:val="fr-CA" w:bidi="fr-CA"/>
        </w:rPr>
        <w:t>Le CETES a examiné le calcul du supplément sur le TSPC effectué par la SÉQ (y compris les annexes détaillées comprises dans la demande) et estime que les méthodes et calculs appliqués sont appropriés et conformes aux pratiques antérieures. Le CETES prend aussi note que le dépôt actuel tient compte du rajustement lié à l’augmentation du prix du combustible depuis décembre 2022.</w:t>
      </w:r>
    </w:p>
    <w:p w14:paraId="6E296262" w14:textId="5F8FE28C" w:rsidR="008A749F" w:rsidRPr="0061183C" w:rsidRDefault="00430D74" w:rsidP="00303C2C">
      <w:pPr>
        <w:pStyle w:val="BodyText"/>
        <w:numPr>
          <w:ilvl w:val="0"/>
          <w:numId w:val="4"/>
        </w:numPr>
        <w:spacing w:after="120" w:line="360" w:lineRule="auto"/>
        <w:ind w:left="907" w:hanging="547"/>
        <w:jc w:val="both"/>
      </w:pPr>
      <w:r w:rsidRPr="0061183C">
        <w:rPr>
          <w:rFonts w:ascii="Gadugi" w:eastAsia="Gadugi" w:hAnsi="Gadugi" w:cs="Gadugi"/>
          <w:lang w:val="fr-CA" w:bidi="fr-CA"/>
        </w:rPr>
        <w:t xml:space="preserve">Le CETES a invité la SÉQ à proposer de possibles améliorations à ses futures prévisions du cout du diésel au niveau du TSPC et de la RMTG, ainsi que d'éventuelles modifications au programme de subvention sur l'électricité du Nunavut (PSEN). Le CETES prend note que le PSEN assure un soutien aux clients en fonction de la RMTG approuvée (fondé sur le tarif d’électricité de base d’Iqaluit) et que la méthode du taux de stabilisation du prix du combustible (TSPC) « protège » les clients à l’égard des différences entre le cout du combustible approuvé dans le cadre de la RMTG et le cout réel. Néanmoins, le CETES fait observer que l'utilisation à long terme des suppléments au TSPC peut amener le PSEN à accorder des indemnités excessives ou insuffisantes aux clients. </w:t>
      </w:r>
    </w:p>
    <w:p w14:paraId="1F782028" w14:textId="1FF66EF9" w:rsidR="00F722B2" w:rsidRPr="000B63AD" w:rsidRDefault="00430D74" w:rsidP="00303C2C">
      <w:pPr>
        <w:pStyle w:val="BodyText"/>
        <w:numPr>
          <w:ilvl w:val="0"/>
          <w:numId w:val="4"/>
        </w:numPr>
        <w:spacing w:after="120" w:line="360" w:lineRule="auto"/>
        <w:ind w:left="907" w:hanging="547"/>
        <w:jc w:val="both"/>
      </w:pPr>
      <w:r w:rsidRPr="0061183C">
        <w:rPr>
          <w:rFonts w:ascii="Gadugi" w:eastAsia="Gadugi" w:hAnsi="Gadugi" w:cs="Gadugi"/>
          <w:lang w:val="fr-CA" w:bidi="fr-CA"/>
        </w:rPr>
        <w:t xml:space="preserve">La SÉQ a répondu qu’elle n’avait pas accès aux données ou à l’information sur les prévisions de combustible autres que celles disponibles auprès de la DPP. La SÉQ a précisé qu'elle confirmait les prix des combustibles en vrac et en valeur nominale auprès de la DPP et qu'elle utilisait les informations les plus récentes </w:t>
      </w:r>
      <w:r w:rsidRPr="0061183C">
        <w:rPr>
          <w:rFonts w:ascii="Gadugi" w:eastAsia="Gadugi" w:hAnsi="Gadugi" w:cs="Gadugi"/>
          <w:lang w:val="fr-CA" w:bidi="fr-CA"/>
        </w:rPr>
        <w:lastRenderedPageBreak/>
        <w:t>avant de déposer les demandes de TSPC et de RMTG. La SÉQ a déclaré qu'elle déposait généralement les demandes de RMTG tous les trois ans, en se basant sur les prix « actuels » des combustibles, et que les prix des combustibles sont difficilement prévisibles. La méthode du TSPC permet de faire des ajustements en fonction de l'évolution des prix des combustibles, plutôt que d'appliquer un changement aux prévisions de la RMTG.</w:t>
      </w:r>
    </w:p>
    <w:p w14:paraId="41C0BC18" w14:textId="77777777" w:rsidR="00F722B2" w:rsidRPr="0061183C" w:rsidRDefault="00F722B2" w:rsidP="00303C2C">
      <w:pPr>
        <w:pStyle w:val="BodyText"/>
        <w:numPr>
          <w:ilvl w:val="0"/>
          <w:numId w:val="4"/>
        </w:numPr>
        <w:spacing w:after="120" w:line="360" w:lineRule="auto"/>
        <w:ind w:left="907" w:hanging="547"/>
        <w:jc w:val="both"/>
      </w:pPr>
      <w:r w:rsidRPr="0061183C">
        <w:rPr>
          <w:rFonts w:ascii="Gadugi" w:eastAsia="Gadugi" w:hAnsi="Gadugi" w:cs="Gadugi"/>
          <w:lang w:val="fr-CA" w:bidi="fr-CA"/>
        </w:rPr>
        <w:t>La SÉQ a affirmé que la structure actuelle du PNSE offre une approche budgétaire fiable pour le GN et que la SÉQ n’a pas envisagé de demander des modifications au PNSE pour y intégrer le TSPC.</w:t>
      </w:r>
    </w:p>
    <w:p w14:paraId="6BEDE875" w14:textId="75BB3D27" w:rsidR="00430D74" w:rsidRPr="006A759F" w:rsidRDefault="00F722B2" w:rsidP="00303C2C">
      <w:pPr>
        <w:pStyle w:val="BodyText"/>
        <w:numPr>
          <w:ilvl w:val="0"/>
          <w:numId w:val="4"/>
        </w:numPr>
        <w:spacing w:after="120" w:line="360" w:lineRule="auto"/>
        <w:ind w:left="907" w:hanging="547"/>
        <w:jc w:val="both"/>
      </w:pPr>
      <w:r w:rsidRPr="0061183C">
        <w:rPr>
          <w:rFonts w:ascii="Gadugi" w:eastAsia="Gadugi" w:hAnsi="Gadugi" w:cs="Gadugi"/>
          <w:lang w:val="fr-CA" w:bidi="fr-CA"/>
        </w:rPr>
        <w:t xml:space="preserve"> Le CETES convient que le TSPC constitue une bonne façon de protéger les clients qui y sont admissibles contre les fluctuations du prix du combustible. Si les changements au prix du combustible sont de courte durée, il est probablement préférable de soumettre une demande de supplément au TSPC plutôt que de modifier la RMTG. Cependant, si les changements au prix du combustible s’appliquent à long terme, le CETES estime que la SÉQ devrait solliciter une modification des tarifs de base. Le CETES fait remarquer que le PSEN ne s’applique pas à tous les clients et que la structure de ce programme se fonde sur la plus récente RMTG approuvée. </w:t>
      </w:r>
    </w:p>
    <w:p w14:paraId="6176577F" w14:textId="25A2D732" w:rsidR="00407221" w:rsidRPr="00055A3D" w:rsidRDefault="00632157" w:rsidP="004D7900">
      <w:pPr>
        <w:pStyle w:val="BodyText"/>
        <w:widowControl/>
        <w:numPr>
          <w:ilvl w:val="0"/>
          <w:numId w:val="4"/>
        </w:numPr>
        <w:spacing w:after="120" w:line="360" w:lineRule="auto"/>
        <w:ind w:left="907" w:hanging="547"/>
        <w:jc w:val="both"/>
      </w:pPr>
      <w:r>
        <w:rPr>
          <w:rFonts w:ascii="Gadugi" w:eastAsia="Gadugi" w:hAnsi="Gadugi" w:cs="Gadugi"/>
          <w:lang w:val="fr-CA" w:bidi="fr-CA"/>
        </w:rPr>
        <w:t>Le CETES soutient que le niveau du supplément sur le TSPC demandé est relativement élevé. Compte tenu de ce qui précède, le CETES a également demandé à la SÉQ, au moyen du CETES-SÉQ-1-1, si celle-ci serait réceptive à l’idée d’étaler le montant à percevoir sur une plus longue période de temps. La SÉQ a répondu qu’elle respecte l’instruction ministérielle de 2014 et que l’étalement du supplément au TSPC sur une période de plus de six mois augmente le risque de transfert intergénérationnel des couts.</w:t>
      </w:r>
    </w:p>
    <w:p w14:paraId="36B87D30" w14:textId="68D2643E" w:rsidR="00E27734" w:rsidRPr="0061183C" w:rsidRDefault="00407221" w:rsidP="000B63AD">
      <w:pPr>
        <w:pStyle w:val="BodyText"/>
        <w:widowControl/>
        <w:numPr>
          <w:ilvl w:val="0"/>
          <w:numId w:val="4"/>
        </w:numPr>
        <w:spacing w:after="120" w:line="360" w:lineRule="auto"/>
        <w:ind w:left="907" w:hanging="547"/>
        <w:jc w:val="both"/>
      </w:pPr>
      <w:r w:rsidRPr="0061183C">
        <w:rPr>
          <w:rFonts w:ascii="Gadugi" w:eastAsia="Gadugi" w:hAnsi="Gadugi" w:cs="Gadugi"/>
          <w:lang w:val="fr-CA" w:bidi="fr-CA"/>
        </w:rPr>
        <w:t xml:space="preserve">Le CETES prend note de la réponse de la SÉQ à l’effet qu’elle suit les directives de l’instruction ministérielle de 2014 en ce qui concerne la TSPC et que </w:t>
      </w:r>
      <w:r w:rsidRPr="0061183C">
        <w:rPr>
          <w:rFonts w:ascii="Gadugi" w:eastAsia="Gadugi" w:hAnsi="Gadugi" w:cs="Gadugi"/>
          <w:lang w:val="fr-CA" w:bidi="fr-CA"/>
        </w:rPr>
        <w:lastRenderedPageBreak/>
        <w:t>l’étalement du montant à percevoir pour le supplément au TSPC sur une période de plus de six mois pourrait entrainer un transfert de couts intergénérationnel. Toutefois, le CETES souligne que pour la majeure partie de la période allant d’avril 2021 à octobre 2022, le Fonds de SPC a dépassé le seuil de 1 million $, ce qui risque aussi d’entrainer un transfert de couts intergénérationnel. Selon la CETES, cela suggère que la SÉQ a fait preuve d’un certain jugement en ce qui concerne le dépôt des demandes de TSPC, en dépit de l’instruction ministérielle de 2014. Le Fonds de SPC est finalement passé sous le seuil de 1 million $ en novembre 2022. Le CETES constate que le jugement de la SÉQ concernant le dépôt ou non d’une demande de TSPC semble être justifié. Le CETES prend note aussi qu’au cours de la période allant d’avril 2021 à octobre 2022, la SÉQ a déposé une mise à jour</w:t>
      </w:r>
      <w:r w:rsidR="00E27734" w:rsidRPr="0061183C">
        <w:rPr>
          <w:rStyle w:val="FootnoteReference"/>
          <w:rFonts w:ascii="Gadugi" w:eastAsia="Gadugi" w:hAnsi="Gadugi" w:cs="Gadugi"/>
          <w:lang w:val="fr-CA" w:bidi="fr-CA"/>
        </w:rPr>
        <w:footnoteReference w:id="2"/>
      </w:r>
      <w:r w:rsidRPr="0061183C">
        <w:rPr>
          <w:rFonts w:ascii="Gadugi" w:eastAsia="Gadugi" w:hAnsi="Gadugi" w:cs="Gadugi"/>
          <w:lang w:val="fr-CA" w:bidi="fr-CA"/>
        </w:rPr>
        <w:t xml:space="preserve"> du Fonds de SPC et du solde ainsi qu’une RMTG. Le CETES fait remarquer que l’instruction ministérielle exige que la SÉQ déposer une demande de TSPC « si, à un quelconque moment les prévisions indiquent que le solde du fonds dépassera le seuil de plus ou moins 1 million $ sur une période de six mois ».</w:t>
      </w:r>
    </w:p>
    <w:p w14:paraId="10EAE352" w14:textId="07DAC726" w:rsidR="0061183C" w:rsidRDefault="00026A03" w:rsidP="006534EE">
      <w:pPr>
        <w:pStyle w:val="BodyText"/>
        <w:widowControl/>
        <w:numPr>
          <w:ilvl w:val="0"/>
          <w:numId w:val="4"/>
        </w:numPr>
        <w:spacing w:after="120" w:line="360" w:lineRule="auto"/>
        <w:ind w:left="907" w:hanging="547"/>
        <w:jc w:val="both"/>
      </w:pPr>
      <w:r w:rsidRPr="0061183C">
        <w:rPr>
          <w:rFonts w:ascii="Gadugi" w:eastAsia="Gadugi" w:hAnsi="Gadugi" w:cs="Gadugi"/>
          <w:lang w:val="fr-CA" w:bidi="fr-CA"/>
        </w:rPr>
        <w:t xml:space="preserve">Le CETES convient que la SÉQ est tenue de suivre l'instruction ministérielle de 2014. Le CETES soutient aussi que le ministre responsable de la SÉQ a le pouvoir discrétionnaire d’établir le supplément sur le TSPC. Le CETES considère que la demande est conforme à l’instruction ministérielle de 2014. De l’avis du CETES, le ministre pourrait envisager de percevoir le montant sur une période plus longue, ce qui pourrait limiter les répercussions sur les factures des clients si les prix du combustible revenaient aux niveaux prévus dans le RMTG. Toutefois, si on s’attend à ce que le prix du combustible demeure au-dessus des niveaux prévus dans la RMTG, la perception du montant sur une période plus longue ne servira qu’à repousser les répercussions de facturation à une date ultérieure. Si la SÉQ s’attend à ce que le prix du combustible demeure supérieur aux prévisions </w:t>
      </w:r>
      <w:r w:rsidRPr="0061183C">
        <w:rPr>
          <w:rFonts w:ascii="Gadugi" w:eastAsia="Gadugi" w:hAnsi="Gadugi" w:cs="Gadugi"/>
          <w:lang w:val="fr-CA" w:bidi="fr-CA"/>
        </w:rPr>
        <w:lastRenderedPageBreak/>
        <w:t>de la RMTG, il serait peut-être préférable de soumettre une modification à la RMTG (en ce qui concerne le prix du combustible). En l’absence d’une prévision à plus long terme des prix du diésel de la part de la DPP, il n’est pas possible de déterminer quelle mesure serait la meilleure pour la SÉQ, autre qu’un supplément sur le TSPC réparti sur six mois.</w:t>
      </w:r>
    </w:p>
    <w:p w14:paraId="75B348BE" w14:textId="5EE633AC" w:rsidR="00EB459A" w:rsidRDefault="00DB40FA" w:rsidP="0061183C">
      <w:pPr>
        <w:pStyle w:val="BodyText"/>
        <w:widowControl/>
        <w:numPr>
          <w:ilvl w:val="0"/>
          <w:numId w:val="4"/>
        </w:numPr>
        <w:spacing w:after="120" w:line="360" w:lineRule="auto"/>
        <w:ind w:left="907" w:hanging="547"/>
        <w:jc w:val="both"/>
      </w:pPr>
      <w:r>
        <w:rPr>
          <w:rFonts w:ascii="Gadugi" w:eastAsia="Gadugi" w:hAnsi="Gadugi" w:cs="Gadugi"/>
          <w:lang w:val="fr-CA" w:bidi="fr-CA"/>
        </w:rPr>
        <w:t>En définitive, le CETES recommande d’approuver la demande de percevoir la différence sur le solde du Fonds de SPC au plus tard le 30 septembre 2023. En conséquence, le CETES conclut que le supplément au TSPC proposé pour la période du 1</w:t>
      </w:r>
      <w:r>
        <w:rPr>
          <w:rFonts w:ascii="Gadugi" w:eastAsia="Gadugi" w:hAnsi="Gadugi" w:cs="Gadugi"/>
          <w:vertAlign w:val="superscript"/>
          <w:lang w:val="fr-CA" w:bidi="fr-CA"/>
        </w:rPr>
        <w:t>er</w:t>
      </w:r>
      <w:r>
        <w:rPr>
          <w:rFonts w:ascii="Gadugi" w:eastAsia="Gadugi" w:hAnsi="Gadugi" w:cs="Gadugi"/>
          <w:lang w:val="fr-CA" w:bidi="fr-CA"/>
        </w:rPr>
        <w:t xml:space="preserve"> avril au 30 septembre 2023 est raisonnable et dans l’intérêt du public.</w:t>
      </w:r>
    </w:p>
    <w:p w14:paraId="448FC170" w14:textId="48D8C011" w:rsidR="00B64140" w:rsidRDefault="00B64140" w:rsidP="00EC7006">
      <w:pPr>
        <w:pStyle w:val="BodyText"/>
        <w:ind w:left="907"/>
        <w:jc w:val="both"/>
      </w:pPr>
      <w:r>
        <w:rPr>
          <w:rFonts w:ascii="Gadugi" w:eastAsia="Gadugi" w:hAnsi="Gadugi" w:cs="Gadugi"/>
          <w:lang w:val="fr-CA" w:bidi="fr-CA"/>
        </w:rPr>
        <w:br w:type="page"/>
      </w:r>
    </w:p>
    <w:p w14:paraId="3E4D318E" w14:textId="77777777" w:rsidR="00EC7006" w:rsidRDefault="00EC7006" w:rsidP="00EC7006">
      <w:pPr>
        <w:pStyle w:val="BodyText"/>
        <w:ind w:left="907"/>
        <w:jc w:val="both"/>
      </w:pPr>
    </w:p>
    <w:p w14:paraId="1DCEADFE" w14:textId="58A71CE4" w:rsidR="00EB459A" w:rsidRPr="00172A40" w:rsidRDefault="00632157" w:rsidP="00764593">
      <w:pPr>
        <w:pStyle w:val="URRCHeading1"/>
      </w:pPr>
      <w:bookmarkStart w:id="15" w:name="5.0__URRC_Recommendations"/>
      <w:bookmarkStart w:id="16" w:name="_bookmark5"/>
      <w:bookmarkEnd w:id="15"/>
      <w:bookmarkEnd w:id="16"/>
      <w:r w:rsidRPr="00664778">
        <w:rPr>
          <w:rFonts w:ascii="Gadugi" w:eastAsia="Gadugi" w:hAnsi="Gadugi" w:cs="Gadugi"/>
          <w:lang w:val="fr-CA" w:bidi="fr-CA"/>
        </w:rPr>
        <w:t>RECOMMANDATIONS DU CETES</w:t>
      </w:r>
    </w:p>
    <w:p w14:paraId="1CF59F26" w14:textId="77777777" w:rsidR="00EB459A" w:rsidRPr="00764593" w:rsidRDefault="00EB459A">
      <w:pPr>
        <w:pStyle w:val="BodyText"/>
        <w:rPr>
          <w:b/>
        </w:rPr>
      </w:pPr>
    </w:p>
    <w:p w14:paraId="15E73F49" w14:textId="7608625A" w:rsidR="00EB459A" w:rsidRDefault="00632157" w:rsidP="006534EE">
      <w:pPr>
        <w:pStyle w:val="BodyText"/>
        <w:numPr>
          <w:ilvl w:val="0"/>
          <w:numId w:val="4"/>
        </w:numPr>
        <w:spacing w:line="360" w:lineRule="auto"/>
        <w:ind w:hanging="414"/>
      </w:pPr>
      <w:r>
        <w:rPr>
          <w:rFonts w:ascii="Gadugi" w:eastAsia="Gadugi" w:hAnsi="Gadugi" w:cs="Gadugi"/>
          <w:lang w:val="fr-CA" w:bidi="fr-CA"/>
        </w:rPr>
        <w:t xml:space="preserve">Le paragraphe 13(1) de la </w:t>
      </w:r>
      <w:r>
        <w:rPr>
          <w:rFonts w:ascii="Gadugi" w:eastAsia="Gadugi" w:hAnsi="Gadugi" w:cs="Gadugi"/>
          <w:i/>
          <w:lang w:val="fr-CA" w:bidi="fr-CA"/>
        </w:rPr>
        <w:t>Loi sur le CETES</w:t>
      </w:r>
      <w:r>
        <w:rPr>
          <w:rFonts w:ascii="Gadugi" w:eastAsia="Gadugi" w:hAnsi="Gadugi" w:cs="Gadugi"/>
          <w:lang w:val="fr-CA" w:bidi="fr-CA"/>
        </w:rPr>
        <w:t xml:space="preserve"> stipule que :</w:t>
      </w:r>
    </w:p>
    <w:p w14:paraId="63739C20" w14:textId="77777777" w:rsidR="00EB459A" w:rsidRPr="008E30DF" w:rsidRDefault="00632157" w:rsidP="00B64140">
      <w:pPr>
        <w:pStyle w:val="BodyText"/>
        <w:spacing w:before="137" w:line="360" w:lineRule="auto"/>
        <w:ind w:left="993" w:right="720"/>
        <w:jc w:val="both"/>
        <w:rPr>
          <w:sz w:val="22"/>
          <w:szCs w:val="22"/>
        </w:rPr>
      </w:pPr>
      <w:r w:rsidRPr="008E30DF">
        <w:rPr>
          <w:rFonts w:ascii="Gadugi" w:eastAsia="Gadugi" w:hAnsi="Gadugi" w:cs="Gadugi"/>
          <w:sz w:val="22"/>
          <w:lang w:val="fr-CA" w:bidi="fr-CA"/>
        </w:rPr>
        <w:t>Le Conseil d’examen doit remettre au ministre responsable un rapport dans lequel il formule l’une des recommandations suivantes :</w:t>
      </w:r>
    </w:p>
    <w:p w14:paraId="63236FC2" w14:textId="77777777" w:rsidR="00EB459A" w:rsidRPr="008E30DF" w:rsidRDefault="00632157" w:rsidP="00B64140">
      <w:pPr>
        <w:pStyle w:val="ListParagraph"/>
        <w:numPr>
          <w:ilvl w:val="1"/>
          <w:numId w:val="12"/>
        </w:numPr>
        <w:tabs>
          <w:tab w:val="left" w:pos="1530"/>
        </w:tabs>
        <w:spacing w:line="360" w:lineRule="auto"/>
        <w:ind w:right="720"/>
        <w:jc w:val="both"/>
      </w:pPr>
      <w:r w:rsidRPr="008E30DF">
        <w:rPr>
          <w:rFonts w:ascii="Gadugi" w:eastAsia="Gadugi" w:hAnsi="Gadugi" w:cs="Gadugi"/>
          <w:lang w:val="fr-CA" w:bidi="fr-CA"/>
        </w:rPr>
        <w:t>que le taux ou tarif proposé soit approuvé;</w:t>
      </w:r>
    </w:p>
    <w:p w14:paraId="61835BF0" w14:textId="77777777" w:rsidR="00EB459A" w:rsidRPr="008E30DF" w:rsidRDefault="00632157" w:rsidP="00B64140">
      <w:pPr>
        <w:pStyle w:val="ListParagraph"/>
        <w:numPr>
          <w:ilvl w:val="1"/>
          <w:numId w:val="12"/>
        </w:numPr>
        <w:tabs>
          <w:tab w:val="left" w:pos="1530"/>
        </w:tabs>
        <w:spacing w:before="137" w:line="360" w:lineRule="auto"/>
        <w:ind w:right="720"/>
        <w:jc w:val="both"/>
      </w:pPr>
      <w:r w:rsidRPr="008E30DF">
        <w:rPr>
          <w:rFonts w:ascii="Gadugi" w:eastAsia="Gadugi" w:hAnsi="Gadugi" w:cs="Gadugi"/>
          <w:lang w:val="fr-CA" w:bidi="fr-CA"/>
        </w:rPr>
        <w:t>que le taux ou tarif proposé ne soit pas approuvé;</w:t>
      </w:r>
    </w:p>
    <w:p w14:paraId="076AE6B3" w14:textId="77777777" w:rsidR="00EB459A" w:rsidRPr="008E30DF" w:rsidRDefault="00632157" w:rsidP="00B64140">
      <w:pPr>
        <w:pStyle w:val="ListParagraph"/>
        <w:numPr>
          <w:ilvl w:val="1"/>
          <w:numId w:val="12"/>
        </w:numPr>
        <w:tabs>
          <w:tab w:val="left" w:pos="1530"/>
        </w:tabs>
        <w:spacing w:before="139" w:line="360" w:lineRule="auto"/>
        <w:ind w:right="720"/>
        <w:jc w:val="both"/>
      </w:pPr>
      <w:r w:rsidRPr="008E30DF">
        <w:rPr>
          <w:rFonts w:ascii="Gadugi" w:eastAsia="Gadugi" w:hAnsi="Gadugi" w:cs="Gadugi"/>
          <w:lang w:val="fr-CA" w:bidi="fr-CA"/>
        </w:rPr>
        <w:t>qu’un autre taux ou tarif, qu’il précise dans son rapport, soit adopté.</w:t>
      </w:r>
    </w:p>
    <w:p w14:paraId="2ED76DA4" w14:textId="77777777" w:rsidR="00EB459A" w:rsidRDefault="00EB459A" w:rsidP="00B64140">
      <w:pPr>
        <w:pStyle w:val="BodyText"/>
        <w:spacing w:line="360" w:lineRule="auto"/>
        <w:jc w:val="both"/>
        <w:rPr>
          <w:sz w:val="22"/>
        </w:rPr>
      </w:pPr>
    </w:p>
    <w:p w14:paraId="1995F5C9" w14:textId="7556E607" w:rsidR="00EB459A" w:rsidRDefault="00632157" w:rsidP="006534EE">
      <w:pPr>
        <w:pStyle w:val="BodyText"/>
        <w:numPr>
          <w:ilvl w:val="0"/>
          <w:numId w:val="4"/>
        </w:numPr>
        <w:spacing w:line="360" w:lineRule="auto"/>
        <w:ind w:hanging="414"/>
      </w:pPr>
      <w:r w:rsidRPr="00B64140">
        <w:rPr>
          <w:rFonts w:ascii="Gadugi" w:eastAsia="Gadugi" w:hAnsi="Gadugi" w:cs="Gadugi"/>
          <w:lang w:val="fr-CA" w:bidi="fr-CA"/>
        </w:rPr>
        <w:t>Conformément à ce qui précède, le CETES recommande l’approbation d’un supplément sur le taux de stabilisation du prix du combustible de 7,33 cent/kWh pour la SÉQ pour la période allant du 1</w:t>
      </w:r>
      <w:r w:rsidRPr="00B64140">
        <w:rPr>
          <w:rFonts w:ascii="Gadugi" w:eastAsia="Gadugi" w:hAnsi="Gadugi" w:cs="Gadugi"/>
          <w:vertAlign w:val="superscript"/>
          <w:lang w:val="fr-CA" w:bidi="fr-CA"/>
        </w:rPr>
        <w:t>er</w:t>
      </w:r>
      <w:r w:rsidRPr="00B64140">
        <w:rPr>
          <w:rFonts w:ascii="Gadugi" w:eastAsia="Gadugi" w:hAnsi="Gadugi" w:cs="Gadugi"/>
          <w:lang w:val="fr-CA" w:bidi="fr-CA"/>
        </w:rPr>
        <w:t xml:space="preserve"> avril au 30 septembre 2023.</w:t>
      </w:r>
    </w:p>
    <w:p w14:paraId="5C415007" w14:textId="77777777" w:rsidR="00B64140" w:rsidRPr="008E30DF" w:rsidRDefault="00B64140" w:rsidP="006534EE">
      <w:pPr>
        <w:pStyle w:val="BodyText"/>
        <w:spacing w:line="360" w:lineRule="auto"/>
        <w:ind w:left="840"/>
      </w:pPr>
    </w:p>
    <w:p w14:paraId="6F21C228" w14:textId="77777777" w:rsidR="00EB459A" w:rsidRPr="00B64140" w:rsidRDefault="00632157" w:rsidP="006534EE">
      <w:pPr>
        <w:pStyle w:val="BodyText"/>
        <w:numPr>
          <w:ilvl w:val="0"/>
          <w:numId w:val="4"/>
        </w:numPr>
        <w:spacing w:line="360" w:lineRule="auto"/>
        <w:ind w:hanging="414"/>
      </w:pPr>
      <w:r w:rsidRPr="00B64140">
        <w:rPr>
          <w:rFonts w:ascii="Gadugi" w:eastAsia="Gadugi" w:hAnsi="Gadugi" w:cs="Gadugi"/>
          <w:lang w:val="fr-CA" w:bidi="fr-CA"/>
        </w:rPr>
        <w:t>Le présent rapport ne porte d’aucune manière atteinte à la capacité du CETES d’examiner d’autres questions ayant trait à la SÉQ.</w:t>
      </w:r>
    </w:p>
    <w:p w14:paraId="790834A6" w14:textId="77777777" w:rsidR="00EB459A" w:rsidRDefault="00EB459A" w:rsidP="00B64140">
      <w:pPr>
        <w:pStyle w:val="BodyText"/>
        <w:spacing w:line="360" w:lineRule="auto"/>
        <w:rPr>
          <w:sz w:val="26"/>
        </w:rPr>
      </w:pPr>
    </w:p>
    <w:p w14:paraId="4AD8AA0F" w14:textId="77777777" w:rsidR="00EB459A" w:rsidRDefault="00EB459A">
      <w:pPr>
        <w:pStyle w:val="BodyText"/>
        <w:spacing w:before="2"/>
        <w:rPr>
          <w:sz w:val="30"/>
        </w:rPr>
      </w:pPr>
    </w:p>
    <w:p w14:paraId="0D4F107B" w14:textId="77777777" w:rsidR="00C0030A" w:rsidRDefault="00632157" w:rsidP="00D10FE9">
      <w:pPr>
        <w:pStyle w:val="Heading1"/>
        <w:spacing w:line="276" w:lineRule="auto"/>
        <w:ind w:left="120"/>
        <w:rPr>
          <w:rFonts w:ascii="Times New Roman"/>
          <w:sz w:val="24"/>
          <w:szCs w:val="24"/>
        </w:rPr>
      </w:pPr>
      <w:r w:rsidRPr="00D10FE9">
        <w:rPr>
          <w:rFonts w:ascii="Gadugi" w:eastAsia="Gadugi" w:hAnsi="Gadugi" w:cs="Gadugi"/>
          <w:sz w:val="24"/>
          <w:lang w:val="fr-CA" w:bidi="fr-CA"/>
        </w:rPr>
        <w:t>AU NOM DU</w:t>
      </w:r>
    </w:p>
    <w:p w14:paraId="7500CEB3" w14:textId="2D38032B" w:rsidR="00EB459A" w:rsidRPr="00D10FE9" w:rsidRDefault="00632157" w:rsidP="00D10FE9">
      <w:pPr>
        <w:pStyle w:val="Heading1"/>
        <w:spacing w:line="276" w:lineRule="auto"/>
        <w:ind w:left="120"/>
        <w:rPr>
          <w:rFonts w:ascii="Times New Roman"/>
          <w:sz w:val="24"/>
          <w:szCs w:val="24"/>
        </w:rPr>
      </w:pPr>
      <w:r w:rsidRPr="00D10FE9">
        <w:rPr>
          <w:rFonts w:ascii="Gadugi" w:eastAsia="Gadugi" w:hAnsi="Gadugi" w:cs="Gadugi"/>
          <w:sz w:val="24"/>
          <w:lang w:val="fr-CA" w:bidi="fr-CA"/>
        </w:rPr>
        <w:t>CONSEIL D’EXAMEN DES TAUX DES ENTREPRISES DE SERVICE AU NUNAVUT</w:t>
      </w:r>
    </w:p>
    <w:p w14:paraId="0566DE7F" w14:textId="46338C41" w:rsidR="00EB459A" w:rsidRDefault="00EB459A">
      <w:pPr>
        <w:pStyle w:val="BodyText"/>
        <w:spacing w:before="10"/>
        <w:rPr>
          <w:b/>
          <w:sz w:val="18"/>
        </w:rPr>
      </w:pPr>
    </w:p>
    <w:p w14:paraId="567271B9" w14:textId="66A552B4" w:rsidR="00EB459A" w:rsidRDefault="00EB459A">
      <w:pPr>
        <w:pStyle w:val="BodyText"/>
        <w:spacing w:before="7"/>
        <w:rPr>
          <w:b/>
          <w:sz w:val="26"/>
        </w:rPr>
      </w:pPr>
    </w:p>
    <w:p w14:paraId="1BE97DFC" w14:textId="1B272663" w:rsidR="00523DEE" w:rsidRDefault="001D4A71">
      <w:pPr>
        <w:tabs>
          <w:tab w:val="left" w:pos="5879"/>
        </w:tabs>
        <w:spacing w:before="129"/>
        <w:ind w:left="4440"/>
        <w:rPr>
          <w:b/>
          <w:sz w:val="24"/>
          <w:szCs w:val="24"/>
        </w:rPr>
      </w:pPr>
      <w:r>
        <w:rPr>
          <w:rFonts w:ascii="Gadugi" w:eastAsia="Gadugi" w:hAnsi="Gadugi" w:cs="Gadugi"/>
          <w:noProof/>
          <w:sz w:val="20"/>
          <w:lang w:val="fr-CA" w:bidi="fr-CA"/>
        </w:rPr>
        <w:drawing>
          <wp:inline distT="0" distB="0" distL="0" distR="0" wp14:anchorId="47F8599D" wp14:editId="1D92B7F9">
            <wp:extent cx="3263900" cy="825500"/>
            <wp:effectExtent l="0" t="0" r="0" b="0"/>
            <wp:docPr id="160730481" name="Picture 16073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55351" name="Picture 7799553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0CF8E632" w14:textId="10CE8343" w:rsidR="00523DEE" w:rsidRDefault="00523DEE" w:rsidP="00EC7006">
      <w:pPr>
        <w:tabs>
          <w:tab w:val="left" w:pos="5879"/>
        </w:tabs>
        <w:spacing w:before="129"/>
        <w:ind w:left="4050"/>
        <w:rPr>
          <w:b/>
          <w:sz w:val="24"/>
          <w:szCs w:val="24"/>
        </w:rPr>
      </w:pPr>
    </w:p>
    <w:p w14:paraId="7A7A9994" w14:textId="6F62B62E" w:rsidR="00523DEE" w:rsidRDefault="00C0030A">
      <w:pPr>
        <w:tabs>
          <w:tab w:val="left" w:pos="5879"/>
        </w:tabs>
        <w:spacing w:before="129"/>
        <w:ind w:left="4440"/>
        <w:rPr>
          <w:b/>
          <w:sz w:val="24"/>
          <w:szCs w:val="24"/>
        </w:rPr>
      </w:pPr>
      <w:r>
        <w:rPr>
          <w:rFonts w:ascii="Gadugi" w:eastAsia="Gadugi" w:hAnsi="Gadugi" w:cs="Gadugi"/>
          <w:noProof/>
          <w:lang w:val="fr-CA" w:bidi="fr-CA"/>
        </w:rPr>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0087"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" path="m4032,l,e" filled="f">
                <v:path arrowok="t" o:connecttype="custom" o:connectlocs="2560320,0;0,0" o:connectangles="0,0"/>
                <w10:wrap type="topAndBottom" anchorx="page"/>
              </v:shape>
            </w:pict>
          </mc:Fallback>
        </mc:AlternateContent>
      </w:r>
    </w:p>
    <w:p w14:paraId="7F8199E6" w14:textId="7F182B80" w:rsidR="00EB459A" w:rsidRPr="00D10FE9" w:rsidRDefault="00632157">
      <w:pPr>
        <w:tabs>
          <w:tab w:val="left" w:pos="5879"/>
        </w:tabs>
        <w:spacing w:before="129"/>
        <w:ind w:left="4440"/>
        <w:rPr>
          <w:b/>
          <w:sz w:val="24"/>
          <w:szCs w:val="24"/>
        </w:rPr>
      </w:pPr>
      <w:r w:rsidRPr="00D10FE9">
        <w:rPr>
          <w:rFonts w:ascii="Gadugi" w:eastAsia="Gadugi" w:hAnsi="Gadugi" w:cs="Gadugi"/>
          <w:b/>
          <w:sz w:val="24"/>
          <w:lang w:val="fr-CA" w:bidi="fr-CA"/>
        </w:rPr>
        <w:t>DATE :</w:t>
      </w:r>
      <w:r w:rsidRPr="00D10FE9">
        <w:rPr>
          <w:rFonts w:ascii="Gadugi" w:eastAsia="Gadugi" w:hAnsi="Gadugi" w:cs="Gadugi"/>
          <w:b/>
          <w:sz w:val="24"/>
          <w:lang w:val="fr-CA" w:bidi="fr-CA"/>
        </w:rPr>
        <w:tab/>
        <w:t>7 juin 2023</w:t>
      </w:r>
    </w:p>
    <w:p w14:paraId="3EFA4664" w14:textId="77777777" w:rsidR="00C0030A" w:rsidRDefault="00C0030A" w:rsidP="00C0030A">
      <w:pPr>
        <w:ind w:left="4435"/>
        <w:rPr>
          <w:b/>
          <w:sz w:val="24"/>
          <w:szCs w:val="24"/>
        </w:rPr>
      </w:pPr>
    </w:p>
    <w:p w14:paraId="33D89925" w14:textId="28485C1B" w:rsidR="00C0030A" w:rsidRDefault="003C235A" w:rsidP="00C0030A">
      <w:pPr>
        <w:ind w:left="4435"/>
        <w:rPr>
          <w:b/>
          <w:sz w:val="24"/>
          <w:szCs w:val="24"/>
        </w:rPr>
      </w:pPr>
      <w:r>
        <w:rPr>
          <w:rFonts w:ascii="Gadugi" w:eastAsia="Gadugi" w:hAnsi="Gadugi" w:cs="Gadugi"/>
          <w:b/>
          <w:sz w:val="24"/>
          <w:lang w:val="fr-CA" w:bidi="fr-CA"/>
        </w:rPr>
        <w:t>Monica Ell-Kanayuk, présidente</w:t>
      </w:r>
    </w:p>
    <w:p w14:paraId="29FA08A3" w14:textId="75B3A418" w:rsidR="00EB459A" w:rsidRPr="00D10FE9" w:rsidRDefault="00CF1E89" w:rsidP="00C0030A">
      <w:pPr>
        <w:ind w:left="4435"/>
        <w:rPr>
          <w:b/>
          <w:sz w:val="24"/>
          <w:szCs w:val="24"/>
        </w:rPr>
      </w:pPr>
      <w:r>
        <w:rPr>
          <w:rFonts w:ascii="Gadugi" w:eastAsia="Gadugi" w:hAnsi="Gadugi" w:cs="Gadugi"/>
          <w:b/>
          <w:sz w:val="24"/>
          <w:lang w:val="fr-CA" w:bidi="fr-CA"/>
        </w:rPr>
        <w:t>Conseil d’examen des taux des entreprises de service au Nunavut</w:t>
      </w:r>
    </w:p>
    <w:sectPr w:rsidR="00EB459A" w:rsidRPr="00D10FE9" w:rsidSect="00D10FE9">
      <w:pgSz w:w="12240" w:h="15840"/>
      <w:pgMar w:top="1440" w:right="1440" w:bottom="720"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B7094" w14:textId="77777777" w:rsidR="007A2630" w:rsidRDefault="007A2630">
      <w:r>
        <w:separator/>
      </w:r>
    </w:p>
  </w:endnote>
  <w:endnote w:type="continuationSeparator" w:id="0">
    <w:p w14:paraId="41EBFE3E" w14:textId="77777777" w:rsidR="007A2630" w:rsidRDefault="007A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CEE73" w14:textId="0F3EC8E6" w:rsidR="00292A95" w:rsidRDefault="00292A95" w:rsidP="00292A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78C0" w14:textId="2A96A26C" w:rsidR="00664778" w:rsidRDefault="0066477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B342" w14:textId="3ACB4954" w:rsidR="00664778" w:rsidRDefault="0066477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095F" w14:textId="205C878D" w:rsidR="00664778" w:rsidRDefault="0066477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C8E3" w14:textId="7753591C" w:rsidR="00664778" w:rsidRPr="00B105A4" w:rsidRDefault="0066477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E045" w14:textId="77777777" w:rsidR="00FF2984" w:rsidRPr="00B105A4" w:rsidRDefault="00FF2984" w:rsidP="00B105A4">
    <w:pPr>
      <w:pStyle w:val="Footer"/>
      <w:jc w:val="right"/>
    </w:pPr>
    <w:r>
      <w:rPr>
        <w:rFonts w:ascii="Gadugi" w:eastAsia="Gadugi" w:hAnsi="Gadugi" w:cs="Gadugi"/>
        <w:lang w:val="fr-CA" w:bidi="fr-CA"/>
      </w:rPr>
      <w:t xml:space="preserve">Page </w:t>
    </w:r>
    <w:r>
      <w:rPr>
        <w:rFonts w:ascii="Gadugi" w:eastAsia="Gadugi" w:hAnsi="Gadugi" w:cs="Gadugi"/>
        <w:lang w:val="fr-CA" w:bidi="fr-CA"/>
      </w:rPr>
      <w:fldChar w:fldCharType="begin"/>
    </w:r>
    <w:r>
      <w:rPr>
        <w:rFonts w:ascii="Gadugi" w:eastAsia="Gadugi" w:hAnsi="Gadugi" w:cs="Gadugi"/>
        <w:lang w:val="fr-CA" w:bidi="fr-CA"/>
      </w:rPr>
      <w:instrText xml:space="preserve"> PAGE   \* MERGEFORMAT </w:instrText>
    </w:r>
    <w:r>
      <w:rPr>
        <w:rFonts w:ascii="Gadugi" w:eastAsia="Gadugi" w:hAnsi="Gadugi" w:cs="Gadugi"/>
        <w:lang w:val="fr-CA" w:bidi="fr-CA"/>
      </w:rPr>
      <w:fldChar w:fldCharType="separate"/>
    </w:r>
    <w:r w:rsidR="0026085B">
      <w:rPr>
        <w:rFonts w:ascii="Gadugi" w:eastAsia="Gadugi" w:hAnsi="Gadugi" w:cs="Gadugi"/>
        <w:noProof/>
        <w:lang w:val="fr-CA" w:bidi="fr-CA"/>
      </w:rPr>
      <w:t>1</w:t>
    </w:r>
    <w:r>
      <w:rPr>
        <w:rFonts w:ascii="Gadugi" w:eastAsia="Gadugi" w:hAnsi="Gadugi" w:cs="Gadugi"/>
        <w:noProof/>
        <w:lang w:val="fr-CA" w:bidi="fr-CA"/>
      </w:rPr>
      <w:fldChar w:fldCharType="end"/>
    </w:r>
  </w:p>
  <w:p w14:paraId="3C4B9301" w14:textId="77777777" w:rsidR="00FF2984" w:rsidRDefault="00FF2984"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43C02" w14:textId="77777777" w:rsidR="007A2630" w:rsidRDefault="007A2630">
      <w:r>
        <w:separator/>
      </w:r>
    </w:p>
  </w:footnote>
  <w:footnote w:type="continuationSeparator" w:id="0">
    <w:p w14:paraId="6E8F5637" w14:textId="77777777" w:rsidR="007A2630" w:rsidRDefault="007A2630">
      <w:r>
        <w:continuationSeparator/>
      </w:r>
    </w:p>
  </w:footnote>
  <w:footnote w:id="1">
    <w:p w14:paraId="28A5E0DD" w14:textId="4D792666" w:rsidR="00F94481" w:rsidRDefault="00F94481">
      <w:pPr>
        <w:pStyle w:val="FootnoteText"/>
      </w:pPr>
      <w:r>
        <w:rPr>
          <w:rStyle w:val="FootnoteReference"/>
          <w:rFonts w:ascii="Gadugi" w:eastAsia="Gadugi" w:hAnsi="Gadugi" w:cs="Gadugi"/>
          <w:lang w:val="fr-CA" w:bidi="fr-CA"/>
        </w:rPr>
        <w:footnoteRef/>
      </w:r>
      <w:r>
        <w:rPr>
          <w:rFonts w:ascii="Gadugi" w:eastAsia="Gadugi" w:hAnsi="Gadugi" w:cs="Gadugi"/>
          <w:lang w:val="fr-CA" w:bidi="fr-CA"/>
        </w:rPr>
        <w:t>Arrondi au cent le plus proche.</w:t>
      </w:r>
    </w:p>
  </w:footnote>
  <w:footnote w:id="2">
    <w:p w14:paraId="3134B224" w14:textId="1C6711E1" w:rsidR="00E27734" w:rsidRDefault="00E27734">
      <w:pPr>
        <w:pStyle w:val="FootnoteText"/>
      </w:pPr>
      <w:r>
        <w:rPr>
          <w:rStyle w:val="FootnoteReference"/>
          <w:rFonts w:ascii="Gadugi" w:eastAsia="Gadugi" w:hAnsi="Gadugi" w:cs="Gadugi"/>
          <w:lang w:val="fr-CA" w:bidi="fr-CA"/>
        </w:rPr>
        <w:footnoteRef/>
      </w:r>
      <w:r w:rsidR="003D0947">
        <w:rPr>
          <w:rFonts w:ascii="Gadugi" w:eastAsia="Gadugi" w:hAnsi="Gadugi" w:cs="Gadugi"/>
          <w:lang w:val="fr-CA" w:bidi="fr-CA"/>
        </w:rPr>
        <w:t xml:space="preserve"> Lettre de Tosin Omole, de la SÉQ, à Laurie-Anne White datée du 25 février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1"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D1542"/>
    <w:multiLevelType w:val="multilevel"/>
    <w:tmpl w:val="12FA4EB8"/>
    <w:numStyleLink w:val="URRCList"/>
  </w:abstractNum>
  <w:abstractNum w:abstractNumId="7"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8"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3"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7"/>
  </w:num>
  <w:num w:numId="2">
    <w:abstractNumId w:val="0"/>
  </w:num>
  <w:num w:numId="3">
    <w:abstractNumId w:val="12"/>
  </w:num>
  <w:num w:numId="4">
    <w:abstractNumId w:val="13"/>
  </w:num>
  <w:num w:numId="5">
    <w:abstractNumId w:val="8"/>
  </w:num>
  <w:num w:numId="6">
    <w:abstractNumId w:val="4"/>
  </w:num>
  <w:num w:numId="7">
    <w:abstractNumId w:val="6"/>
  </w:num>
  <w:num w:numId="8">
    <w:abstractNumId w:val="6"/>
  </w:num>
  <w:num w:numId="9">
    <w:abstractNumId w:val="6"/>
  </w:num>
  <w:num w:numId="10">
    <w:abstractNumId w:val="6"/>
  </w:num>
  <w:num w:numId="11">
    <w:abstractNumId w:val="6"/>
  </w:num>
  <w:num w:numId="12">
    <w:abstractNumId w:val="10"/>
  </w:num>
  <w:num w:numId="13">
    <w:abstractNumId w:val="11"/>
  </w:num>
  <w:num w:numId="14">
    <w:abstractNumId w:val="3"/>
  </w:num>
  <w:num w:numId="15">
    <w:abstractNumId w:val="5"/>
  </w:num>
  <w:num w:numId="16">
    <w:abstractNumId w:val="2"/>
  </w:num>
  <w:num w:numId="17">
    <w:abstractNumId w:val="9"/>
  </w:num>
  <w:num w:numId="18">
    <w:abstractNumId w:val="1"/>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9A"/>
    <w:rsid w:val="00001B11"/>
    <w:rsid w:val="00006C1E"/>
    <w:rsid w:val="000229BB"/>
    <w:rsid w:val="00022C1C"/>
    <w:rsid w:val="00026A03"/>
    <w:rsid w:val="000357B0"/>
    <w:rsid w:val="000371EE"/>
    <w:rsid w:val="00051F96"/>
    <w:rsid w:val="00055670"/>
    <w:rsid w:val="00055A3D"/>
    <w:rsid w:val="000602DE"/>
    <w:rsid w:val="00081690"/>
    <w:rsid w:val="00083246"/>
    <w:rsid w:val="0008498A"/>
    <w:rsid w:val="000A3CCB"/>
    <w:rsid w:val="000A4ADC"/>
    <w:rsid w:val="000B63AD"/>
    <w:rsid w:val="000C4822"/>
    <w:rsid w:val="001018BD"/>
    <w:rsid w:val="001229A5"/>
    <w:rsid w:val="0012643F"/>
    <w:rsid w:val="00145822"/>
    <w:rsid w:val="00172A40"/>
    <w:rsid w:val="00173181"/>
    <w:rsid w:val="001A7125"/>
    <w:rsid w:val="001C325E"/>
    <w:rsid w:val="001D4A71"/>
    <w:rsid w:val="001E21FD"/>
    <w:rsid w:val="00200CFE"/>
    <w:rsid w:val="00202311"/>
    <w:rsid w:val="002029ED"/>
    <w:rsid w:val="002069D8"/>
    <w:rsid w:val="002129EA"/>
    <w:rsid w:val="00235F9A"/>
    <w:rsid w:val="0026085B"/>
    <w:rsid w:val="0028215E"/>
    <w:rsid w:val="00282FB8"/>
    <w:rsid w:val="00292A95"/>
    <w:rsid w:val="002971CC"/>
    <w:rsid w:val="002C3536"/>
    <w:rsid w:val="002C6781"/>
    <w:rsid w:val="002E48FC"/>
    <w:rsid w:val="002F073F"/>
    <w:rsid w:val="00303C2C"/>
    <w:rsid w:val="003140F4"/>
    <w:rsid w:val="00316873"/>
    <w:rsid w:val="003308CE"/>
    <w:rsid w:val="00335B33"/>
    <w:rsid w:val="003402C7"/>
    <w:rsid w:val="003478F9"/>
    <w:rsid w:val="00354CDF"/>
    <w:rsid w:val="003708B6"/>
    <w:rsid w:val="0037595A"/>
    <w:rsid w:val="003B62B0"/>
    <w:rsid w:val="003C1E67"/>
    <w:rsid w:val="003C235A"/>
    <w:rsid w:val="003C51FD"/>
    <w:rsid w:val="003C5387"/>
    <w:rsid w:val="003D0947"/>
    <w:rsid w:val="003E0403"/>
    <w:rsid w:val="003E5EDD"/>
    <w:rsid w:val="003F79FA"/>
    <w:rsid w:val="00405C92"/>
    <w:rsid w:val="00407221"/>
    <w:rsid w:val="00410FF2"/>
    <w:rsid w:val="00430D74"/>
    <w:rsid w:val="00433A58"/>
    <w:rsid w:val="00434F12"/>
    <w:rsid w:val="00441038"/>
    <w:rsid w:val="00447B0F"/>
    <w:rsid w:val="00464F3D"/>
    <w:rsid w:val="004715C7"/>
    <w:rsid w:val="004A4780"/>
    <w:rsid w:val="004B7558"/>
    <w:rsid w:val="004D7900"/>
    <w:rsid w:val="004E0F8A"/>
    <w:rsid w:val="004E681A"/>
    <w:rsid w:val="0051437F"/>
    <w:rsid w:val="00523DEE"/>
    <w:rsid w:val="0053245D"/>
    <w:rsid w:val="00550CB7"/>
    <w:rsid w:val="0056623D"/>
    <w:rsid w:val="00567775"/>
    <w:rsid w:val="0057626A"/>
    <w:rsid w:val="00577420"/>
    <w:rsid w:val="005B0B3B"/>
    <w:rsid w:val="005B5D34"/>
    <w:rsid w:val="005C7B24"/>
    <w:rsid w:val="005D64C4"/>
    <w:rsid w:val="005E0E93"/>
    <w:rsid w:val="005E6EA0"/>
    <w:rsid w:val="00603989"/>
    <w:rsid w:val="006043FB"/>
    <w:rsid w:val="0060625D"/>
    <w:rsid w:val="0061183C"/>
    <w:rsid w:val="00631387"/>
    <w:rsid w:val="00632157"/>
    <w:rsid w:val="00643C64"/>
    <w:rsid w:val="006468F0"/>
    <w:rsid w:val="00652268"/>
    <w:rsid w:val="006534EE"/>
    <w:rsid w:val="00660FAE"/>
    <w:rsid w:val="006611DA"/>
    <w:rsid w:val="00664778"/>
    <w:rsid w:val="006741F0"/>
    <w:rsid w:val="00674435"/>
    <w:rsid w:val="006A759F"/>
    <w:rsid w:val="006C35A5"/>
    <w:rsid w:val="006C5279"/>
    <w:rsid w:val="006D3B41"/>
    <w:rsid w:val="006D61C5"/>
    <w:rsid w:val="006F0291"/>
    <w:rsid w:val="006F6525"/>
    <w:rsid w:val="00701D0D"/>
    <w:rsid w:val="00734DD3"/>
    <w:rsid w:val="00734E8C"/>
    <w:rsid w:val="00746D15"/>
    <w:rsid w:val="007570B4"/>
    <w:rsid w:val="00764593"/>
    <w:rsid w:val="007A2630"/>
    <w:rsid w:val="007A3AAD"/>
    <w:rsid w:val="007C5E0E"/>
    <w:rsid w:val="007D621E"/>
    <w:rsid w:val="007D7FC1"/>
    <w:rsid w:val="00802EA1"/>
    <w:rsid w:val="008258CB"/>
    <w:rsid w:val="0082673F"/>
    <w:rsid w:val="00831521"/>
    <w:rsid w:val="0083345B"/>
    <w:rsid w:val="00840074"/>
    <w:rsid w:val="00845184"/>
    <w:rsid w:val="00855899"/>
    <w:rsid w:val="00861850"/>
    <w:rsid w:val="00863242"/>
    <w:rsid w:val="0087060C"/>
    <w:rsid w:val="00885544"/>
    <w:rsid w:val="008918A3"/>
    <w:rsid w:val="008A44AE"/>
    <w:rsid w:val="008A749F"/>
    <w:rsid w:val="008C5FBE"/>
    <w:rsid w:val="008D4F88"/>
    <w:rsid w:val="008E05D7"/>
    <w:rsid w:val="008E30DF"/>
    <w:rsid w:val="00904806"/>
    <w:rsid w:val="009444D3"/>
    <w:rsid w:val="009527E8"/>
    <w:rsid w:val="00964CF8"/>
    <w:rsid w:val="00965201"/>
    <w:rsid w:val="0098695A"/>
    <w:rsid w:val="009A241D"/>
    <w:rsid w:val="009A35CC"/>
    <w:rsid w:val="009B0934"/>
    <w:rsid w:val="009E6849"/>
    <w:rsid w:val="00A101C9"/>
    <w:rsid w:val="00A218D8"/>
    <w:rsid w:val="00A34CDE"/>
    <w:rsid w:val="00A37080"/>
    <w:rsid w:val="00A92998"/>
    <w:rsid w:val="00A96E2A"/>
    <w:rsid w:val="00AC30AD"/>
    <w:rsid w:val="00AC5451"/>
    <w:rsid w:val="00AD4555"/>
    <w:rsid w:val="00AE6869"/>
    <w:rsid w:val="00B105A4"/>
    <w:rsid w:val="00B348FA"/>
    <w:rsid w:val="00B3629F"/>
    <w:rsid w:val="00B472DD"/>
    <w:rsid w:val="00B50202"/>
    <w:rsid w:val="00B512E6"/>
    <w:rsid w:val="00B64140"/>
    <w:rsid w:val="00B75FEB"/>
    <w:rsid w:val="00B875F1"/>
    <w:rsid w:val="00B95FE8"/>
    <w:rsid w:val="00BA6264"/>
    <w:rsid w:val="00BA7C99"/>
    <w:rsid w:val="00BB09D5"/>
    <w:rsid w:val="00BC0672"/>
    <w:rsid w:val="00BD0923"/>
    <w:rsid w:val="00BF0BB3"/>
    <w:rsid w:val="00BF244B"/>
    <w:rsid w:val="00BF3D8E"/>
    <w:rsid w:val="00C0030A"/>
    <w:rsid w:val="00C10E03"/>
    <w:rsid w:val="00C203E0"/>
    <w:rsid w:val="00C35C44"/>
    <w:rsid w:val="00C411F9"/>
    <w:rsid w:val="00C622A2"/>
    <w:rsid w:val="00C646F1"/>
    <w:rsid w:val="00C70E1E"/>
    <w:rsid w:val="00C956F6"/>
    <w:rsid w:val="00CA103B"/>
    <w:rsid w:val="00CB2C6A"/>
    <w:rsid w:val="00CC00CF"/>
    <w:rsid w:val="00CD3C29"/>
    <w:rsid w:val="00CD6B0B"/>
    <w:rsid w:val="00CF1E89"/>
    <w:rsid w:val="00D0613A"/>
    <w:rsid w:val="00D10FE9"/>
    <w:rsid w:val="00D20AF9"/>
    <w:rsid w:val="00D26EEC"/>
    <w:rsid w:val="00D377A4"/>
    <w:rsid w:val="00D40E91"/>
    <w:rsid w:val="00D45D63"/>
    <w:rsid w:val="00D75034"/>
    <w:rsid w:val="00D75DDD"/>
    <w:rsid w:val="00D80628"/>
    <w:rsid w:val="00D825DE"/>
    <w:rsid w:val="00D85A30"/>
    <w:rsid w:val="00DA5AAA"/>
    <w:rsid w:val="00DB40FA"/>
    <w:rsid w:val="00DE125E"/>
    <w:rsid w:val="00E10A1A"/>
    <w:rsid w:val="00E24178"/>
    <w:rsid w:val="00E27734"/>
    <w:rsid w:val="00E27F52"/>
    <w:rsid w:val="00E30FD0"/>
    <w:rsid w:val="00E32507"/>
    <w:rsid w:val="00E34D79"/>
    <w:rsid w:val="00E41C1E"/>
    <w:rsid w:val="00E56126"/>
    <w:rsid w:val="00E63885"/>
    <w:rsid w:val="00E64A35"/>
    <w:rsid w:val="00E811FC"/>
    <w:rsid w:val="00E87B21"/>
    <w:rsid w:val="00EA6680"/>
    <w:rsid w:val="00EB459A"/>
    <w:rsid w:val="00EC3632"/>
    <w:rsid w:val="00EC5408"/>
    <w:rsid w:val="00EC7006"/>
    <w:rsid w:val="00EE0800"/>
    <w:rsid w:val="00EE0C4E"/>
    <w:rsid w:val="00EE27DF"/>
    <w:rsid w:val="00F02E0A"/>
    <w:rsid w:val="00F16514"/>
    <w:rsid w:val="00F30EE9"/>
    <w:rsid w:val="00F3334C"/>
    <w:rsid w:val="00F37068"/>
    <w:rsid w:val="00F45A2A"/>
    <w:rsid w:val="00F513E7"/>
    <w:rsid w:val="00F56135"/>
    <w:rsid w:val="00F722B2"/>
    <w:rsid w:val="00F77E84"/>
    <w:rsid w:val="00F919CB"/>
    <w:rsid w:val="00F94481"/>
    <w:rsid w:val="00FC24C2"/>
    <w:rsid w:val="00FD16BF"/>
    <w:rsid w:val="00FE3315"/>
    <w:rsid w:val="00FE348E"/>
    <w:rsid w:val="00FE505D"/>
    <w:rsid w:val="00FE7A29"/>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4345AB3B-908F-8643-B12F-E1D3C2E2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semiHidden/>
    <w:unhideWhenUsed/>
    <w:rsid w:val="00C646F1"/>
    <w:rPr>
      <w:sz w:val="20"/>
      <w:szCs w:val="20"/>
    </w:rPr>
  </w:style>
  <w:style w:type="character" w:customStyle="1" w:styleId="CommentTextChar">
    <w:name w:val="Comment Text Char"/>
    <w:basedOn w:val="DefaultParagraphFont"/>
    <w:link w:val="CommentText"/>
    <w:uiPriority w:val="99"/>
    <w:semiHidden/>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E87B21"/>
    <w:pPr>
      <w:numPr>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2C7-9921-42AA-9846-A6C4A685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2792</Words>
  <Characters>15916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dcterms:created xsi:type="dcterms:W3CDTF">2024-03-13T13:31:00Z</dcterms:created>
  <dcterms:modified xsi:type="dcterms:W3CDTF">2024-03-13T13:31:00Z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